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ED09A">
      <w:pPr>
        <w:autoSpaceDE w:val="0"/>
        <w:autoSpaceDN w:val="0"/>
        <w:spacing w:line="360" w:lineRule="auto"/>
        <w:jc w:val="center"/>
        <w:textAlignment w:val="bottom"/>
        <w:rPr>
          <w:rFonts w:hint="eastAsia" w:ascii="宋体" w:hAnsi="宋体" w:eastAsia="宋体" w:cs="宋体"/>
          <w:b/>
          <w:bCs/>
          <w:spacing w:val="120"/>
          <w:sz w:val="72"/>
          <w:szCs w:val="72"/>
          <w:highlight w:val="none"/>
        </w:rPr>
      </w:pPr>
      <w:bookmarkStart w:id="230" w:name="_GoBack"/>
      <w:bookmarkEnd w:id="230"/>
    </w:p>
    <w:p w14:paraId="1F8774EB">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14:paraId="499E904C">
      <w:pPr>
        <w:spacing w:line="400" w:lineRule="atLeast"/>
        <w:jc w:val="center"/>
        <w:rPr>
          <w:rFonts w:hint="eastAsia" w:ascii="宋体" w:hAnsi="宋体" w:eastAsia="宋体" w:cs="宋体"/>
          <w:b/>
          <w:sz w:val="52"/>
          <w:szCs w:val="24"/>
          <w:highlight w:val="none"/>
        </w:rPr>
      </w:pPr>
    </w:p>
    <w:p w14:paraId="3A7229DA">
      <w:pPr>
        <w:spacing w:line="400" w:lineRule="atLeast"/>
        <w:jc w:val="center"/>
        <w:rPr>
          <w:rFonts w:hint="eastAsia" w:ascii="宋体" w:hAnsi="宋体" w:eastAsia="宋体" w:cs="宋体"/>
          <w:b/>
          <w:sz w:val="52"/>
          <w:szCs w:val="24"/>
          <w:highlight w:val="none"/>
        </w:rPr>
      </w:pPr>
    </w:p>
    <w:p w14:paraId="69E4C902">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14:paraId="7C8A4FA4">
      <w:pPr>
        <w:spacing w:line="400" w:lineRule="exact"/>
        <w:jc w:val="center"/>
        <w:rPr>
          <w:rFonts w:hint="eastAsia" w:ascii="宋体" w:hAnsi="宋体" w:eastAsia="宋体" w:cs="宋体"/>
          <w:b/>
          <w:sz w:val="32"/>
          <w:szCs w:val="24"/>
          <w:highlight w:val="none"/>
        </w:rPr>
      </w:pPr>
    </w:p>
    <w:p w14:paraId="6C22FB27">
      <w:pPr>
        <w:spacing w:line="400" w:lineRule="exact"/>
        <w:jc w:val="center"/>
        <w:rPr>
          <w:rFonts w:hint="eastAsia" w:ascii="宋体" w:hAnsi="宋体" w:eastAsia="宋体" w:cs="宋体"/>
          <w:b/>
          <w:sz w:val="32"/>
          <w:szCs w:val="24"/>
          <w:highlight w:val="none"/>
        </w:rPr>
      </w:pPr>
    </w:p>
    <w:tbl>
      <w:tblPr>
        <w:tblStyle w:val="24"/>
        <w:tblW w:w="0" w:type="auto"/>
        <w:jc w:val="center"/>
        <w:tblLayout w:type="fixed"/>
        <w:tblCellMar>
          <w:top w:w="0" w:type="dxa"/>
          <w:left w:w="108" w:type="dxa"/>
          <w:bottom w:w="0" w:type="dxa"/>
          <w:right w:w="108" w:type="dxa"/>
        </w:tblCellMar>
      </w:tblPr>
      <w:tblGrid>
        <w:gridCol w:w="2340"/>
        <w:gridCol w:w="360"/>
        <w:gridCol w:w="3233"/>
      </w:tblGrid>
      <w:tr w14:paraId="5EAD5FCF">
        <w:tblPrEx>
          <w:tblCellMar>
            <w:top w:w="0" w:type="dxa"/>
            <w:left w:w="108" w:type="dxa"/>
            <w:bottom w:w="0" w:type="dxa"/>
            <w:right w:w="108" w:type="dxa"/>
          </w:tblCellMar>
        </w:tblPrEx>
        <w:trPr>
          <w:trHeight w:val="659" w:hRule="atLeast"/>
          <w:jc w:val="center"/>
        </w:trPr>
        <w:tc>
          <w:tcPr>
            <w:tcW w:w="2340" w:type="dxa"/>
            <w:vAlign w:val="center"/>
          </w:tcPr>
          <w:p w14:paraId="2AB6AD3A">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360" w:type="dxa"/>
            <w:vAlign w:val="center"/>
          </w:tcPr>
          <w:p w14:paraId="33AE9ABF">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14:paraId="0F2C8CA3">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WGSS-JFJT-Z-2025028</w:t>
            </w:r>
          </w:p>
        </w:tc>
      </w:tr>
      <w:tr w14:paraId="51100AD3">
        <w:tblPrEx>
          <w:tblCellMar>
            <w:top w:w="0" w:type="dxa"/>
            <w:left w:w="108" w:type="dxa"/>
            <w:bottom w:w="0" w:type="dxa"/>
            <w:right w:w="108" w:type="dxa"/>
          </w:tblCellMar>
        </w:tblPrEx>
        <w:trPr>
          <w:trHeight w:val="614" w:hRule="atLeast"/>
          <w:jc w:val="center"/>
        </w:trPr>
        <w:tc>
          <w:tcPr>
            <w:tcW w:w="2340" w:type="dxa"/>
            <w:vAlign w:val="center"/>
          </w:tcPr>
          <w:p w14:paraId="1C8F486F">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360" w:type="dxa"/>
            <w:vAlign w:val="center"/>
          </w:tcPr>
          <w:p w14:paraId="1721B36A">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14:paraId="4F80AFEC">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鳌江停车区物业服务</w:t>
            </w:r>
          </w:p>
        </w:tc>
      </w:tr>
      <w:tr w14:paraId="305E8B46">
        <w:tblPrEx>
          <w:tblCellMar>
            <w:top w:w="0" w:type="dxa"/>
            <w:left w:w="108" w:type="dxa"/>
            <w:bottom w:w="0" w:type="dxa"/>
            <w:right w:w="108" w:type="dxa"/>
          </w:tblCellMar>
        </w:tblPrEx>
        <w:trPr>
          <w:trHeight w:val="614" w:hRule="atLeast"/>
          <w:jc w:val="center"/>
        </w:trPr>
        <w:tc>
          <w:tcPr>
            <w:tcW w:w="2340" w:type="dxa"/>
            <w:vAlign w:val="center"/>
          </w:tcPr>
          <w:p w14:paraId="7335277A">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360" w:type="dxa"/>
            <w:vAlign w:val="center"/>
          </w:tcPr>
          <w:p w14:paraId="0DD61C29">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14:paraId="010D8CAF">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14:paraId="1CA47639">
      <w:pPr>
        <w:jc w:val="center"/>
        <w:rPr>
          <w:rFonts w:hint="eastAsia" w:ascii="宋体" w:hAnsi="宋体" w:eastAsia="宋体" w:cs="宋体"/>
          <w:b/>
          <w:sz w:val="24"/>
          <w:szCs w:val="24"/>
          <w:highlight w:val="none"/>
        </w:rPr>
      </w:pPr>
    </w:p>
    <w:p w14:paraId="25C8DC6C">
      <w:pPr>
        <w:jc w:val="center"/>
        <w:rPr>
          <w:rFonts w:hint="eastAsia" w:ascii="宋体" w:hAnsi="宋体" w:eastAsia="宋体" w:cs="宋体"/>
          <w:b/>
          <w:sz w:val="24"/>
          <w:szCs w:val="24"/>
          <w:highlight w:val="none"/>
        </w:rPr>
      </w:pPr>
    </w:p>
    <w:p w14:paraId="5E91AE50">
      <w:pPr>
        <w:jc w:val="center"/>
        <w:rPr>
          <w:rFonts w:hint="eastAsia" w:ascii="宋体" w:hAnsi="宋体" w:eastAsia="宋体" w:cs="宋体"/>
          <w:b/>
          <w:sz w:val="24"/>
          <w:szCs w:val="24"/>
          <w:highlight w:val="none"/>
        </w:rPr>
      </w:pPr>
    </w:p>
    <w:p w14:paraId="0D32C9A3">
      <w:pPr>
        <w:jc w:val="center"/>
        <w:rPr>
          <w:rFonts w:hint="eastAsia" w:ascii="宋体" w:hAnsi="宋体" w:eastAsia="宋体" w:cs="宋体"/>
          <w:b/>
          <w:sz w:val="24"/>
          <w:szCs w:val="24"/>
          <w:highlight w:val="none"/>
        </w:rPr>
      </w:pPr>
    </w:p>
    <w:p w14:paraId="76639F0A">
      <w:pPr>
        <w:jc w:val="center"/>
        <w:rPr>
          <w:rFonts w:hint="eastAsia" w:ascii="宋体" w:hAnsi="宋体" w:eastAsia="宋体" w:cs="宋体"/>
          <w:b/>
          <w:sz w:val="24"/>
          <w:szCs w:val="24"/>
          <w:highlight w:val="none"/>
        </w:rPr>
      </w:pPr>
    </w:p>
    <w:p w14:paraId="19B54710">
      <w:pPr>
        <w:jc w:val="center"/>
        <w:rPr>
          <w:rFonts w:hint="eastAsia" w:ascii="宋体" w:hAnsi="宋体" w:eastAsia="宋体" w:cs="宋体"/>
          <w:b/>
          <w:sz w:val="24"/>
          <w:szCs w:val="24"/>
          <w:highlight w:val="none"/>
        </w:rPr>
      </w:pPr>
    </w:p>
    <w:p w14:paraId="6ECBCFB9">
      <w:pPr>
        <w:jc w:val="center"/>
        <w:rPr>
          <w:rFonts w:hint="eastAsia" w:ascii="宋体" w:hAnsi="宋体" w:eastAsia="宋体" w:cs="宋体"/>
          <w:b/>
          <w:sz w:val="24"/>
          <w:szCs w:val="24"/>
          <w:highlight w:val="none"/>
        </w:rPr>
      </w:pPr>
    </w:p>
    <w:p w14:paraId="32FAD663">
      <w:pPr>
        <w:jc w:val="center"/>
        <w:rPr>
          <w:rFonts w:hint="eastAsia" w:ascii="宋体" w:hAnsi="宋体" w:eastAsia="宋体" w:cs="宋体"/>
          <w:b/>
          <w:sz w:val="24"/>
          <w:szCs w:val="24"/>
          <w:highlight w:val="none"/>
        </w:rPr>
      </w:pPr>
    </w:p>
    <w:p w14:paraId="5FAEB02B">
      <w:pPr>
        <w:jc w:val="center"/>
        <w:rPr>
          <w:rFonts w:hint="eastAsia" w:ascii="宋体" w:hAnsi="宋体" w:eastAsia="宋体" w:cs="宋体"/>
          <w:b/>
          <w:sz w:val="24"/>
          <w:szCs w:val="24"/>
          <w:highlight w:val="none"/>
        </w:rPr>
      </w:pPr>
    </w:p>
    <w:p w14:paraId="13FAAE29">
      <w:pPr>
        <w:jc w:val="center"/>
        <w:rPr>
          <w:rFonts w:hint="eastAsia" w:ascii="宋体" w:hAnsi="宋体" w:eastAsia="宋体" w:cs="宋体"/>
          <w:b/>
          <w:sz w:val="24"/>
          <w:szCs w:val="24"/>
          <w:highlight w:val="none"/>
        </w:rPr>
      </w:pPr>
    </w:p>
    <w:p w14:paraId="199ED4C6">
      <w:pPr>
        <w:jc w:val="center"/>
        <w:rPr>
          <w:rFonts w:hint="eastAsia" w:ascii="宋体" w:hAnsi="宋体" w:eastAsia="宋体" w:cs="宋体"/>
          <w:b/>
          <w:sz w:val="24"/>
          <w:szCs w:val="24"/>
          <w:highlight w:val="none"/>
        </w:rPr>
      </w:pPr>
    </w:p>
    <w:tbl>
      <w:tblPr>
        <w:tblStyle w:val="24"/>
        <w:tblW w:w="0" w:type="auto"/>
        <w:jc w:val="center"/>
        <w:tblLayout w:type="fixed"/>
        <w:tblCellMar>
          <w:top w:w="0" w:type="dxa"/>
          <w:left w:w="108" w:type="dxa"/>
          <w:bottom w:w="0" w:type="dxa"/>
          <w:right w:w="108" w:type="dxa"/>
        </w:tblCellMar>
      </w:tblPr>
      <w:tblGrid>
        <w:gridCol w:w="2199"/>
        <w:gridCol w:w="360"/>
        <w:gridCol w:w="4789"/>
      </w:tblGrid>
      <w:tr w14:paraId="6C49AB42">
        <w:tblPrEx>
          <w:tblCellMar>
            <w:top w:w="0" w:type="dxa"/>
            <w:left w:w="108" w:type="dxa"/>
            <w:bottom w:w="0" w:type="dxa"/>
            <w:right w:w="108" w:type="dxa"/>
          </w:tblCellMar>
        </w:tblPrEx>
        <w:trPr>
          <w:trHeight w:val="614" w:hRule="atLeast"/>
          <w:jc w:val="center"/>
        </w:trPr>
        <w:tc>
          <w:tcPr>
            <w:tcW w:w="2199" w:type="dxa"/>
            <w:vAlign w:val="center"/>
          </w:tcPr>
          <w:p w14:paraId="10AACDE7">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14:paraId="4C60F725">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14:paraId="2334DE4E">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温州市高速公路资产经营有限公司</w:t>
            </w:r>
          </w:p>
        </w:tc>
      </w:tr>
      <w:tr w14:paraId="7512CC60">
        <w:tblPrEx>
          <w:tblCellMar>
            <w:top w:w="0" w:type="dxa"/>
            <w:left w:w="108" w:type="dxa"/>
            <w:bottom w:w="0" w:type="dxa"/>
            <w:right w:w="108" w:type="dxa"/>
          </w:tblCellMar>
        </w:tblPrEx>
        <w:trPr>
          <w:trHeight w:val="614" w:hRule="atLeast"/>
          <w:jc w:val="center"/>
        </w:trPr>
        <w:tc>
          <w:tcPr>
            <w:tcW w:w="2199" w:type="dxa"/>
            <w:vAlign w:val="center"/>
          </w:tcPr>
          <w:p w14:paraId="2AF509AD">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14:paraId="61CEEA84">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14:paraId="65921238">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浙江国际招投标有限公司</w:t>
            </w:r>
          </w:p>
        </w:tc>
      </w:tr>
    </w:tbl>
    <w:p w14:paraId="388917C9">
      <w:pPr>
        <w:spacing w:before="156" w:beforeLines="50" w:line="360" w:lineRule="auto"/>
        <w:jc w:val="center"/>
        <w:rPr>
          <w:rFonts w:hint="eastAsia" w:ascii="宋体" w:hAnsi="宋体" w:eastAsia="宋体" w:cs="宋体"/>
          <w:spacing w:val="40"/>
          <w:sz w:val="30"/>
          <w:szCs w:val="30"/>
          <w:highlight w:val="none"/>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五</w:t>
      </w:r>
      <w:r>
        <w:rPr>
          <w:rFonts w:hint="eastAsia" w:ascii="宋体" w:hAnsi="宋体" w:eastAsia="宋体" w:cs="宋体"/>
          <w:spacing w:val="40"/>
          <w:sz w:val="30"/>
          <w:szCs w:val="30"/>
          <w:highlight w:val="none"/>
        </w:rPr>
        <w:t>年</w:t>
      </w:r>
    </w:p>
    <w:p w14:paraId="20952147">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A2570D7">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14:paraId="59B4B78E">
      <w:pPr>
        <w:tabs>
          <w:tab w:val="right" w:leader="dot" w:pos="9660"/>
        </w:tabs>
        <w:spacing w:line="480" w:lineRule="auto"/>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14:paraId="50A96E9D">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napToGrid w:val="0"/>
          <w:spacing w:val="-20"/>
          <w:kern w:val="0"/>
          <w:szCs w:val="24"/>
          <w:highlight w:val="none"/>
          <w:u w:val="single"/>
          <w:lang w:eastAsia="zh-CN"/>
        </w:rPr>
        <w:t>温州市交发集团所属温州市高速公路资产经营有限公司关于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"_Toc491780521" </w:instrText>
      </w:r>
      <w:r>
        <w:rPr>
          <w:rFonts w:hint="eastAsia" w:ascii="宋体" w:hAnsi="宋体" w:eastAsia="宋体" w:cs="宋体"/>
          <w:highlight w:val="none"/>
        </w:rPr>
        <w:fldChar w:fldCharType="separate"/>
      </w:r>
      <w:r>
        <w:rPr>
          <w:rFonts w:hint="eastAsia" w:ascii="宋体" w:hAnsi="宋体" w:eastAsia="宋体" w:cs="宋体"/>
          <w:snapToGrid w:val="0"/>
          <w:spacing w:val="-20"/>
          <w:kern w:val="0"/>
          <w:szCs w:val="24"/>
          <w:highlight w:val="none"/>
          <w:u w:val="single"/>
          <w:lang w:eastAsia="zh-CN"/>
        </w:rPr>
        <w:t>鳌江停车区物业服务</w:t>
      </w:r>
      <w:r>
        <w:rPr>
          <w:rFonts w:hint="eastAsia" w:ascii="宋体" w:hAnsi="宋体" w:eastAsia="宋体" w:cs="宋体"/>
          <w:snapToGrid w:val="0"/>
          <w:spacing w:val="-20"/>
          <w:kern w:val="0"/>
          <w:szCs w:val="24"/>
          <w:highlight w:val="none"/>
          <w:u w:val="single"/>
          <w:lang w:val="en-US" w:eastAsia="zh-CN"/>
        </w:rPr>
        <w:t>项目（自主）</w:t>
      </w:r>
      <w:r>
        <w:rPr>
          <w:rFonts w:hint="eastAsia" w:ascii="宋体" w:hAnsi="宋体" w:eastAsia="宋体" w:cs="宋体"/>
          <w:snapToGrid w:val="0"/>
          <w:spacing w:val="-20"/>
          <w:kern w:val="0"/>
          <w:szCs w:val="24"/>
          <w:highlight w:val="none"/>
          <w:u w:val="single"/>
        </w:rPr>
        <w:t>的采购公告</w:t>
      </w:r>
      <w:r>
        <w:rPr>
          <w:rFonts w:hint="eastAsia" w:ascii="宋体" w:hAnsi="宋体" w:eastAsia="宋体" w:cs="宋体"/>
          <w:snapToGrid w:val="0"/>
          <w:spacing w:val="-20"/>
          <w:kern w:val="0"/>
          <w:szCs w:val="24"/>
          <w:highlight w:val="none"/>
          <w:u w:val="single"/>
        </w:rPr>
        <w:tab/>
      </w:r>
      <w:r>
        <w:rPr>
          <w:rFonts w:hint="eastAsia" w:ascii="宋体" w:hAnsi="宋体" w:eastAsia="宋体" w:cs="宋体"/>
          <w:snapToGrid w:val="0"/>
          <w:spacing w:val="-20"/>
          <w:kern w:val="0"/>
          <w:szCs w:val="24"/>
          <w:highlight w:val="none"/>
          <w:u w:val="single"/>
        </w:rPr>
        <w:t>3</w:t>
      </w:r>
      <w:r>
        <w:rPr>
          <w:rFonts w:hint="eastAsia" w:ascii="宋体" w:hAnsi="宋体" w:eastAsia="宋体" w:cs="宋体"/>
          <w:snapToGrid w:val="0"/>
          <w:spacing w:val="-20"/>
          <w:kern w:val="0"/>
          <w:szCs w:val="24"/>
          <w:highlight w:val="none"/>
          <w:u w:val="single"/>
        </w:rPr>
        <w:fldChar w:fldCharType="end"/>
      </w:r>
    </w:p>
    <w:p w14:paraId="787CF224">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pacing w:val="-20"/>
          <w:szCs w:val="24"/>
          <w:highlight w:val="none"/>
          <w:u w:val="single"/>
          <w:lang w:eastAsia="zh-CN"/>
        </w:rPr>
        <w:t>温州市交发集团所属温州市高速公路资产经营有限公司关于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"_Toc491780522" </w:instrText>
      </w:r>
      <w:r>
        <w:rPr>
          <w:rFonts w:hint="eastAsia" w:ascii="宋体" w:hAnsi="宋体" w:eastAsia="宋体" w:cs="宋体"/>
          <w:highlight w:val="none"/>
        </w:rPr>
        <w:fldChar w:fldCharType="separate"/>
      </w:r>
      <w:r>
        <w:rPr>
          <w:rFonts w:hint="eastAsia" w:ascii="宋体" w:hAnsi="宋体" w:eastAsia="宋体" w:cs="宋体"/>
          <w:spacing w:val="-20"/>
          <w:szCs w:val="24"/>
          <w:highlight w:val="none"/>
          <w:u w:val="single"/>
          <w:lang w:eastAsia="zh-CN"/>
        </w:rPr>
        <w:t>鳌江停车区物业服务</w:t>
      </w:r>
      <w:r>
        <w:rPr>
          <w:rFonts w:hint="eastAsia" w:ascii="宋体" w:hAnsi="宋体" w:eastAsia="宋体" w:cs="宋体"/>
          <w:spacing w:val="-20"/>
          <w:szCs w:val="24"/>
          <w:highlight w:val="none"/>
          <w:u w:val="single"/>
          <w:lang w:val="en-US" w:eastAsia="zh-CN"/>
        </w:rPr>
        <w:t>项目（自主）</w:t>
      </w:r>
      <w:r>
        <w:rPr>
          <w:rFonts w:hint="eastAsia" w:ascii="宋体" w:hAnsi="宋体" w:eastAsia="宋体" w:cs="宋体"/>
          <w:spacing w:val="-20"/>
          <w:szCs w:val="24"/>
          <w:highlight w:val="none"/>
          <w:u w:val="single"/>
        </w:rPr>
        <w:t>征求意见公示</w:t>
      </w:r>
      <w:r>
        <w:rPr>
          <w:rFonts w:hint="eastAsia" w:ascii="宋体" w:hAnsi="宋体" w:eastAsia="宋体" w:cs="宋体"/>
          <w:spacing w:val="-20"/>
          <w:szCs w:val="24"/>
          <w:highlight w:val="none"/>
          <w:u w:val="single"/>
        </w:rPr>
        <w:tab/>
      </w:r>
      <w:r>
        <w:rPr>
          <w:rFonts w:hint="eastAsia" w:ascii="宋体" w:hAnsi="宋体" w:eastAsia="宋体" w:cs="宋体"/>
          <w:spacing w:val="-20"/>
          <w:szCs w:val="24"/>
          <w:highlight w:val="none"/>
          <w:u w:val="single"/>
          <w:lang w:val="en-US" w:eastAsia="zh-CN"/>
        </w:rPr>
        <w:t>4</w:t>
      </w:r>
      <w:r>
        <w:rPr>
          <w:rFonts w:hint="eastAsia" w:ascii="宋体" w:hAnsi="宋体" w:eastAsia="宋体" w:cs="宋体"/>
          <w:spacing w:val="-20"/>
          <w:szCs w:val="24"/>
          <w:highlight w:val="none"/>
          <w:u w:val="single"/>
        </w:rPr>
        <w:fldChar w:fldCharType="end"/>
      </w:r>
    </w:p>
    <w:p w14:paraId="551F820C">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14:paraId="094D9A30">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8</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p>
    <w:p w14:paraId="1D26B390">
      <w:pPr>
        <w:tabs>
          <w:tab w:val="right" w:leader="dot" w:pos="9660"/>
        </w:tabs>
        <w:spacing w:line="480" w:lineRule="auto"/>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46</w:t>
      </w:r>
    </w:p>
    <w:p w14:paraId="0BD2D43B">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64</w:t>
      </w:r>
    </w:p>
    <w:p w14:paraId="2CA3FDD0">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69</w:t>
      </w:r>
    </w:p>
    <w:p w14:paraId="2D69927A">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的条款，为采购文件的实质性要求和条件，着重提醒各投标人注意（不响应</w:t>
      </w:r>
      <w:r>
        <w:rPr>
          <w:rFonts w:hint="eastAsia" w:ascii="宋体" w:hAnsi="宋体" w:eastAsia="宋体" w:cs="宋体"/>
          <w:b/>
          <w:bCs/>
          <w:sz w:val="28"/>
          <w:szCs w:val="30"/>
          <w:highlight w:val="none"/>
          <w:lang w:val="en-US" w:eastAsia="zh-CN"/>
        </w:rPr>
        <w:t>加</w:t>
      </w:r>
      <w:r>
        <w:rPr>
          <w:rFonts w:hint="eastAsia" w:ascii="宋体" w:hAnsi="宋体" w:eastAsia="宋体" w:cs="宋体"/>
          <w:b/>
          <w:bCs/>
          <w:sz w:val="28"/>
          <w:szCs w:val="30"/>
          <w:highlight w:val="none"/>
        </w:rPr>
        <w:t>“▲”</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条款的作无效标处理），并认真查看采购文件中的每一个条款及要求，因误读采购文件而造成的后果，采购人概不负责。</w:t>
      </w:r>
    </w:p>
    <w:p w14:paraId="05359230">
      <w:pPr>
        <w:jc w:val="center"/>
        <w:rPr>
          <w:rFonts w:hint="eastAsia" w:ascii="宋体" w:hAnsi="宋体" w:eastAsia="宋体" w:cs="宋体"/>
          <w:b/>
          <w:bCs/>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b/>
          <w:bCs/>
          <w:sz w:val="24"/>
          <w:highlight w:val="none"/>
          <w:lang w:eastAsia="zh-CN"/>
        </w:rPr>
        <w:t>温州市交发集团</w:t>
      </w:r>
      <w:r>
        <w:rPr>
          <w:rFonts w:hint="eastAsia" w:ascii="宋体" w:hAnsi="宋体" w:eastAsia="宋体" w:cs="宋体"/>
          <w:b/>
          <w:bCs/>
          <w:sz w:val="24"/>
          <w:highlight w:val="none"/>
          <w:lang w:val="en-US" w:eastAsia="zh-CN"/>
        </w:rPr>
        <w:t>所属</w:t>
      </w:r>
      <w:r>
        <w:rPr>
          <w:rFonts w:hint="eastAsia" w:ascii="宋体" w:hAnsi="宋体" w:eastAsia="宋体" w:cs="宋体"/>
          <w:b/>
          <w:bCs/>
          <w:sz w:val="24"/>
          <w:highlight w:val="none"/>
          <w:lang w:eastAsia="zh-CN"/>
        </w:rPr>
        <w:t>温州市高速公路资产经营有限公司关于鳌江停车区物业服务</w:t>
      </w:r>
      <w:r>
        <w:rPr>
          <w:rFonts w:hint="eastAsia" w:ascii="宋体" w:hAnsi="宋体" w:eastAsia="宋体" w:cs="宋体"/>
          <w:b/>
          <w:bCs/>
          <w:sz w:val="24"/>
          <w:highlight w:val="none"/>
          <w:lang w:val="en-US" w:eastAsia="zh-CN"/>
        </w:rPr>
        <w:t>项目（自主）</w:t>
      </w:r>
      <w:r>
        <w:rPr>
          <w:rFonts w:hint="eastAsia" w:ascii="宋体" w:hAnsi="宋体" w:eastAsia="宋体" w:cs="宋体"/>
          <w:b/>
          <w:bCs/>
          <w:sz w:val="24"/>
          <w:highlight w:val="none"/>
        </w:rPr>
        <w:t>的采购公告</w:t>
      </w:r>
    </w:p>
    <w:p w14:paraId="25D6238D">
      <w:pPr>
        <w:widowControl/>
        <w:spacing w:before="60" w:after="60"/>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w:t>
      </w:r>
      <w:r>
        <w:rPr>
          <w:rFonts w:hint="eastAsia" w:ascii="宋体" w:hAnsi="宋体" w:eastAsia="宋体" w:cs="宋体"/>
          <w:highlight w:val="none"/>
          <w:lang w:eastAsia="zh-CN"/>
        </w:rPr>
        <w:t>《温州市市属国有企业采购管理办法》（温国资委〔2024〕第51号）</w:t>
      </w:r>
      <w:r>
        <w:rPr>
          <w:rFonts w:hint="eastAsia" w:ascii="宋体" w:hAnsi="宋体" w:eastAsia="宋体" w:cs="宋体"/>
          <w:highlight w:val="none"/>
        </w:rPr>
        <w:t>等有关规定，</w:t>
      </w:r>
      <w:r>
        <w:rPr>
          <w:rFonts w:hint="eastAsia" w:ascii="宋体" w:hAnsi="宋体" w:eastAsia="宋体" w:cs="宋体"/>
          <w:highlight w:val="none"/>
          <w:lang w:eastAsia="zh-CN"/>
        </w:rPr>
        <w:t>浙江国际招投标有限公司</w:t>
      </w:r>
      <w:r>
        <w:rPr>
          <w:rFonts w:hint="eastAsia" w:ascii="宋体" w:hAnsi="宋体" w:eastAsia="宋体" w:cs="宋体"/>
          <w:highlight w:val="none"/>
        </w:rPr>
        <w:t>受</w:t>
      </w:r>
      <w:r>
        <w:rPr>
          <w:rFonts w:hint="eastAsia" w:ascii="宋体" w:hAnsi="宋体" w:eastAsia="宋体" w:cs="宋体"/>
          <w:highlight w:val="none"/>
          <w:lang w:eastAsia="zh-CN"/>
        </w:rPr>
        <w:t>温州市高速公路资产经营有限公司</w:t>
      </w:r>
      <w:r>
        <w:rPr>
          <w:rFonts w:hint="eastAsia" w:ascii="宋体" w:hAnsi="宋体" w:eastAsia="宋体" w:cs="宋体"/>
          <w:highlight w:val="none"/>
        </w:rPr>
        <w:t>的委托，就</w:t>
      </w:r>
      <w:r>
        <w:rPr>
          <w:rFonts w:hint="eastAsia" w:ascii="宋体" w:hAnsi="宋体" w:eastAsia="宋体" w:cs="宋体"/>
          <w:highlight w:val="none"/>
          <w:lang w:eastAsia="zh-CN"/>
        </w:rPr>
        <w:t>鳌江停车区物业服务</w:t>
      </w:r>
      <w:r>
        <w:rPr>
          <w:rFonts w:hint="eastAsia" w:ascii="宋体" w:hAnsi="宋体" w:eastAsia="宋体" w:cs="宋体"/>
          <w:highlight w:val="none"/>
          <w:lang w:val="en-US" w:eastAsia="zh-CN"/>
        </w:rPr>
        <w:t>项目</w:t>
      </w:r>
      <w:r>
        <w:rPr>
          <w:rFonts w:hint="eastAsia" w:ascii="宋体" w:hAnsi="宋体" w:eastAsia="宋体" w:cs="宋体"/>
          <w:highlight w:val="none"/>
        </w:rPr>
        <w:t>以公开招标方式进行国企采购，欢迎国内合格的投标供应商前来投标。</w:t>
      </w:r>
    </w:p>
    <w:p w14:paraId="6014C4AE">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、项目编号：</w:t>
      </w:r>
      <w:r>
        <w:rPr>
          <w:rFonts w:hint="eastAsia" w:ascii="宋体" w:hAnsi="宋体" w:eastAsia="宋体" w:cs="宋体"/>
          <w:bCs/>
          <w:kern w:val="0"/>
          <w:szCs w:val="21"/>
          <w:highlight w:val="none"/>
          <w:lang w:eastAsia="zh-CN"/>
        </w:rPr>
        <w:t>WGSS-JFJT-Z-2025028</w:t>
      </w:r>
    </w:p>
    <w:p w14:paraId="1D3C5051">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、项目名称：</w:t>
      </w:r>
      <w:r>
        <w:rPr>
          <w:rFonts w:hint="eastAsia" w:ascii="宋体" w:hAnsi="宋体" w:eastAsia="宋体" w:cs="宋体"/>
          <w:bCs/>
          <w:kern w:val="0"/>
          <w:szCs w:val="21"/>
          <w:highlight w:val="none"/>
          <w:lang w:eastAsia="zh-CN"/>
        </w:rPr>
        <w:t>鳌江停车区物业服务</w:t>
      </w:r>
    </w:p>
    <w:p w14:paraId="7D59A5E2">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项目</w:t>
      </w:r>
      <w:r>
        <w:rPr>
          <w:rFonts w:hint="eastAsia" w:ascii="宋体" w:hAnsi="宋体" w:eastAsia="宋体" w:cs="宋体"/>
          <w:bCs/>
          <w:kern w:val="0"/>
          <w:szCs w:val="21"/>
          <w:highlight w:val="none"/>
        </w:rPr>
        <w:t>性质：国企采购（非政府采购）</w:t>
      </w:r>
    </w:p>
    <w:p w14:paraId="6423F585">
      <w:pPr>
        <w:widowControl/>
        <w:spacing w:before="60" w:after="60"/>
        <w:ind w:right="60"/>
        <w:jc w:val="left"/>
        <w:rPr>
          <w:rFonts w:hint="eastAsia" w:ascii="宋体" w:hAnsi="宋体" w:eastAsia="宋体" w:cs="宋体"/>
          <w:highlight w:val="none"/>
        </w:rPr>
      </w:pP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、采购内容（内容、用途、数量、简要技术要求等）：</w:t>
      </w:r>
    </w:p>
    <w:tbl>
      <w:tblPr>
        <w:tblStyle w:val="24"/>
        <w:tblW w:w="8942" w:type="dxa"/>
        <w:jc w:val="center"/>
        <w:tblLayout w:type="fixed"/>
        <w:tblCellMar>
          <w:top w:w="0" w:type="dxa"/>
          <w:left w:w="108" w:type="dxa"/>
          <w:bottom w:w="0" w:type="dxa"/>
          <w:right w:w="108" w:type="dxa"/>
        </w:tblCellMar>
      </w:tblPr>
      <w:tblGrid>
        <w:gridCol w:w="736"/>
        <w:gridCol w:w="1160"/>
        <w:gridCol w:w="742"/>
        <w:gridCol w:w="766"/>
        <w:gridCol w:w="2048"/>
        <w:gridCol w:w="3490"/>
      </w:tblGrid>
      <w:tr w14:paraId="660F96F0">
        <w:tblPrEx>
          <w:tblCellMar>
            <w:top w:w="0" w:type="dxa"/>
            <w:left w:w="108" w:type="dxa"/>
            <w:bottom w:w="0" w:type="dxa"/>
            <w:right w:w="108" w:type="dxa"/>
          </w:tblCellMar>
        </w:tblPrEx>
        <w:trPr>
          <w:jc w:val="center"/>
        </w:trPr>
        <w:tc>
          <w:tcPr>
            <w:tcW w:w="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171D9B">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序号</w:t>
            </w:r>
          </w:p>
        </w:tc>
        <w:tc>
          <w:tcPr>
            <w:tcW w:w="1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B5D15A">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标项内容</w:t>
            </w:r>
          </w:p>
        </w:tc>
        <w:tc>
          <w:tcPr>
            <w:tcW w:w="7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0A7358">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数量</w:t>
            </w:r>
          </w:p>
        </w:tc>
        <w:tc>
          <w:tcPr>
            <w:tcW w:w="7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41F91A">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单位</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72776C9">
            <w:pPr>
              <w:keepNext w:val="0"/>
              <w:keepLines w:val="0"/>
              <w:pageBreakBefore w:val="0"/>
              <w:widowControl/>
              <w:kinsoku/>
              <w:wordWrap/>
              <w:overflowPunct/>
              <w:topLinePunct w:val="0"/>
              <w:autoSpaceDE/>
              <w:autoSpaceDN/>
              <w:bidi w:val="0"/>
              <w:adjustRightInd/>
              <w:snapToGrid/>
              <w:spacing w:before="60" w:after="60" w:line="240" w:lineRule="exact"/>
              <w:ind w:left="60" w:leftChars="0" w:right="60" w:rightChars="0"/>
              <w:jc w:val="center"/>
              <w:textAlignment w:val="auto"/>
              <w:rPr>
                <w:rFonts w:hint="eastAsia" w:ascii="宋体" w:hAnsi="宋体" w:eastAsia="宋体" w:cs="宋体"/>
                <w:b/>
                <w:kern w:val="0"/>
                <w:sz w:val="18"/>
                <w:szCs w:val="18"/>
                <w:highlight w:val="none"/>
                <w:lang w:val="en-US" w:eastAsia="zh-CN" w:bidi="ar-SA"/>
              </w:rPr>
            </w:pPr>
            <w:r>
              <w:rPr>
                <w:rFonts w:hint="eastAsia" w:ascii="宋体" w:hAnsi="宋体" w:eastAsia="宋体" w:cs="宋体"/>
                <w:b/>
                <w:kern w:val="0"/>
                <w:sz w:val="18"/>
                <w:szCs w:val="18"/>
                <w:highlight w:val="none"/>
                <w:lang w:val="en-US" w:eastAsia="zh-CN"/>
              </w:rPr>
              <w:t>最高限价</w:t>
            </w:r>
            <w:r>
              <w:rPr>
                <w:rFonts w:hint="eastAsia" w:ascii="宋体" w:hAnsi="宋体" w:eastAsia="宋体" w:cs="宋体"/>
                <w:b/>
                <w:kern w:val="0"/>
                <w:sz w:val="18"/>
                <w:szCs w:val="18"/>
                <w:highlight w:val="none"/>
              </w:rPr>
              <w:t>(万元</w:t>
            </w:r>
            <w:r>
              <w:rPr>
                <w:rFonts w:hint="eastAsia" w:ascii="宋体" w:hAnsi="宋体" w:eastAsia="宋体" w:cs="宋体"/>
                <w:b/>
                <w:kern w:val="0"/>
                <w:sz w:val="18"/>
                <w:szCs w:val="18"/>
                <w:highlight w:val="none"/>
                <w:lang w:val="en-US" w:eastAsia="zh-CN"/>
              </w:rPr>
              <w:t>/年</w:t>
            </w:r>
            <w:r>
              <w:rPr>
                <w:rFonts w:hint="eastAsia" w:ascii="宋体" w:hAnsi="宋体" w:eastAsia="宋体" w:cs="宋体"/>
                <w:b/>
                <w:kern w:val="0"/>
                <w:sz w:val="18"/>
                <w:szCs w:val="18"/>
                <w:highlight w:val="none"/>
              </w:rPr>
              <w:t>)</w:t>
            </w:r>
          </w:p>
        </w:tc>
        <w:tc>
          <w:tcPr>
            <w:tcW w:w="3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E438A9">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简要技术要求、用途</w:t>
            </w:r>
          </w:p>
        </w:tc>
      </w:tr>
      <w:tr w14:paraId="142D6370">
        <w:tblPrEx>
          <w:tblCellMar>
            <w:top w:w="0" w:type="dxa"/>
            <w:left w:w="108" w:type="dxa"/>
            <w:bottom w:w="0" w:type="dxa"/>
            <w:right w:w="108" w:type="dxa"/>
          </w:tblCellMar>
        </w:tblPrEx>
        <w:trPr>
          <w:jc w:val="center"/>
        </w:trPr>
        <w:tc>
          <w:tcPr>
            <w:tcW w:w="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090DF">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11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802395">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kern w:val="0"/>
                <w:sz w:val="18"/>
                <w:szCs w:val="18"/>
                <w:highlight w:val="none"/>
                <w:lang w:eastAsia="zh-CN"/>
              </w:rPr>
            </w:pPr>
            <w:r>
              <w:rPr>
                <w:rFonts w:hint="eastAsia" w:ascii="宋体" w:hAnsi="宋体" w:eastAsia="宋体" w:cs="宋体"/>
                <w:bCs/>
                <w:kern w:val="0"/>
                <w:sz w:val="18"/>
                <w:szCs w:val="18"/>
                <w:highlight w:val="none"/>
                <w:lang w:eastAsia="zh-CN"/>
              </w:rPr>
              <w:t>鳌江停车区物业服务</w:t>
            </w:r>
          </w:p>
        </w:tc>
        <w:tc>
          <w:tcPr>
            <w:tcW w:w="7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729C56">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7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ACF0D4">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kern w:val="0"/>
                <w:sz w:val="18"/>
                <w:szCs w:val="18"/>
                <w:highlight w:val="none"/>
                <w:lang w:val="en-US" w:eastAsia="zh-CN"/>
              </w:rPr>
            </w:pPr>
            <w:r>
              <w:rPr>
                <w:rFonts w:hint="eastAsia" w:ascii="宋体" w:hAnsi="宋体" w:eastAsia="宋体" w:cs="宋体"/>
                <w:sz w:val="18"/>
                <w:szCs w:val="18"/>
                <w:highlight w:val="none"/>
                <w:lang w:val="en-US" w:eastAsia="zh-CN"/>
              </w:rPr>
              <w:t>项</w:t>
            </w:r>
          </w:p>
        </w:tc>
        <w:tc>
          <w:tcPr>
            <w:tcW w:w="20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033C87B">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default" w:ascii="宋体" w:hAnsi="宋体" w:eastAsia="宋体" w:cs="宋体"/>
                <w:bCs/>
                <w:kern w:val="0"/>
                <w:sz w:val="18"/>
                <w:szCs w:val="18"/>
                <w:highlight w:val="none"/>
                <w:lang w:val="en-US" w:eastAsia="zh-CN" w:bidi="ar-SA"/>
              </w:rPr>
            </w:pPr>
            <w:r>
              <w:rPr>
                <w:rFonts w:hint="eastAsia" w:ascii="宋体" w:hAnsi="宋体" w:eastAsia="宋体" w:cs="宋体"/>
                <w:bCs/>
                <w:kern w:val="0"/>
                <w:sz w:val="18"/>
                <w:szCs w:val="18"/>
                <w:highlight w:val="none"/>
                <w:lang w:val="en-US" w:eastAsia="zh-CN"/>
              </w:rPr>
              <w:t>158</w:t>
            </w:r>
          </w:p>
        </w:tc>
        <w:tc>
          <w:tcPr>
            <w:tcW w:w="34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AEAB04">
            <w:pPr>
              <w:keepNext w:val="0"/>
              <w:keepLines w:val="0"/>
              <w:pageBreakBefore w:val="0"/>
              <w:widowControl/>
              <w:kinsoku/>
              <w:wordWrap/>
              <w:overflowPunct/>
              <w:topLinePunct w:val="0"/>
              <w:autoSpaceDE/>
              <w:autoSpaceDN/>
              <w:bidi w:val="0"/>
              <w:adjustRightInd/>
              <w:snapToGrid/>
              <w:spacing w:before="60" w:after="60"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温州市高速公路资产经营有限公司所需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鳌江停车区物业服务</w:t>
            </w:r>
            <w:r>
              <w:rPr>
                <w:rFonts w:hint="eastAsia" w:ascii="宋体" w:hAnsi="宋体" w:eastAsia="宋体" w:cs="宋体"/>
                <w:sz w:val="18"/>
                <w:szCs w:val="18"/>
                <w:highlight w:val="none"/>
              </w:rPr>
              <w:t>，具体</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p>
        </w:tc>
      </w:tr>
    </w:tbl>
    <w:p w14:paraId="120FDA94">
      <w:pPr>
        <w:widowControl/>
        <w:spacing w:before="60" w:after="60"/>
        <w:ind w:right="60"/>
        <w:jc w:val="left"/>
        <w:rPr>
          <w:rFonts w:hint="eastAsia" w:ascii="宋体" w:hAnsi="宋体" w:eastAsia="宋体" w:cs="宋体"/>
          <w:bCs/>
          <w:kern w:val="0"/>
          <w:szCs w:val="21"/>
          <w:highlight w:val="none"/>
        </w:rPr>
      </w:pPr>
      <w:bookmarkStart w:id="3" w:name="B09_招标内容"/>
      <w:bookmarkEnd w:id="3"/>
      <w:r>
        <w:rPr>
          <w:rFonts w:hint="eastAsia" w:ascii="宋体" w:hAnsi="宋体" w:eastAsia="宋体" w:cs="宋体"/>
          <w:bCs/>
          <w:kern w:val="0"/>
          <w:szCs w:val="21"/>
          <w:highlight w:val="none"/>
          <w:lang w:val="en-US" w:eastAsia="zh-CN"/>
        </w:rPr>
        <w:t>五</w:t>
      </w:r>
      <w:r>
        <w:rPr>
          <w:rFonts w:hint="eastAsia" w:ascii="宋体" w:hAnsi="宋体" w:eastAsia="宋体" w:cs="宋体"/>
          <w:bCs/>
          <w:kern w:val="0"/>
          <w:szCs w:val="21"/>
          <w:highlight w:val="none"/>
        </w:rPr>
        <w:t>、投标供应商资格要求：</w:t>
      </w:r>
    </w:p>
    <w:p w14:paraId="508BD4DC">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1、符合</w:t>
      </w:r>
      <w:r>
        <w:rPr>
          <w:rFonts w:hint="eastAsia" w:ascii="宋体" w:hAnsi="宋体" w:eastAsia="宋体" w:cs="宋体"/>
          <w:kern w:val="0"/>
          <w:szCs w:val="21"/>
          <w:highlight w:val="none"/>
          <w:lang w:eastAsia="zh-CN"/>
        </w:rPr>
        <w:t>《温州市市属国有企业采购管理办法》（温国资委〔2024〕第51号）</w:t>
      </w:r>
      <w:r>
        <w:rPr>
          <w:rFonts w:hint="eastAsia" w:ascii="宋体" w:hAnsi="宋体" w:eastAsia="宋体" w:cs="宋体"/>
          <w:kern w:val="0"/>
          <w:szCs w:val="21"/>
          <w:highlight w:val="none"/>
        </w:rPr>
        <w:t>第十</w:t>
      </w:r>
      <w:r>
        <w:rPr>
          <w:rFonts w:hint="eastAsia" w:ascii="宋体" w:hAnsi="宋体" w:eastAsia="宋体" w:cs="宋体"/>
          <w:kern w:val="0"/>
          <w:szCs w:val="21"/>
          <w:highlight w:val="none"/>
          <w:lang w:val="en-US" w:eastAsia="zh-CN"/>
        </w:rPr>
        <w:t>八</w:t>
      </w:r>
      <w:r>
        <w:rPr>
          <w:rFonts w:hint="eastAsia" w:ascii="宋体" w:hAnsi="宋体" w:eastAsia="宋体" w:cs="宋体"/>
          <w:kern w:val="0"/>
          <w:szCs w:val="21"/>
          <w:highlight w:val="none"/>
        </w:rPr>
        <w:t>条对投标供应商参加温州市国有企业采购活动应当具备的基本资格条件；</w:t>
      </w:r>
    </w:p>
    <w:p w14:paraId="7A6C23E3">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color w:val="auto"/>
          <w:kern w:val="0"/>
          <w:szCs w:val="21"/>
          <w:highlight w:val="none"/>
          <w:lang w:val="en-US" w:eastAsia="zh-CN"/>
        </w:rPr>
        <w:t>至本项目投标截止前未被列入“信用中国”网站(www.creditchina.gov.cn)“记录失信被执行人或重大税收违法案件当事人名单”记录名单</w:t>
      </w:r>
      <w:r>
        <w:rPr>
          <w:rFonts w:hint="eastAsia" w:ascii="宋体" w:hAnsi="宋体" w:eastAsia="宋体" w:cs="宋体"/>
          <w:szCs w:val="21"/>
          <w:highlight w:val="none"/>
        </w:rPr>
        <w:t>；</w:t>
      </w:r>
    </w:p>
    <w:p w14:paraId="662D9248">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、单位负责人为同一人或者存在直接控股、管理关系的不同供应商，不得同时参加本项目投标活动，违反该款规定的，相关投标均无效；</w:t>
      </w:r>
    </w:p>
    <w:p w14:paraId="004205A2">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kern w:val="0"/>
          <w:szCs w:val="21"/>
          <w:highlight w:val="none"/>
        </w:rPr>
        <w:t>本项目不接受联合体投标。</w:t>
      </w:r>
      <w:r>
        <w:rPr>
          <w:rFonts w:hint="eastAsia" w:ascii="宋体" w:hAnsi="宋体" w:eastAsia="宋体" w:cs="宋体"/>
          <w:kern w:val="0"/>
          <w:szCs w:val="21"/>
          <w:highlight w:val="none"/>
        </w:rPr>
        <w:tab/>
      </w:r>
    </w:p>
    <w:p w14:paraId="3AE62BF7">
      <w:pPr>
        <w:widowControl/>
        <w:spacing w:before="60" w:after="60"/>
        <w:ind w:right="60"/>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、发售</w:t>
      </w:r>
      <w:r>
        <w:rPr>
          <w:rFonts w:hint="eastAsia" w:ascii="宋体" w:hAnsi="宋体" w:eastAsia="宋体" w:cs="宋体"/>
          <w:kern w:val="0"/>
          <w:szCs w:val="21"/>
          <w:highlight w:val="none"/>
        </w:rPr>
        <w:t>采购文件时间及地点：</w:t>
      </w:r>
    </w:p>
    <w:p w14:paraId="41422CB5">
      <w:pPr>
        <w:widowControl/>
        <w:wordWrap w:val="0"/>
        <w:spacing w:before="0" w:after="0"/>
        <w:ind w:left="0" w:righ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1、报名时间及采购文件发售时间：公告发布之日起至投标截止时间止（上午08：30-11：30，下午14：30-17：00，节假日除外，未购买采购文件的潜在投标供应商拒绝参加投标）。</w:t>
      </w:r>
    </w:p>
    <w:p w14:paraId="4B98D676">
      <w:pPr>
        <w:widowControl/>
        <w:wordWrap w:val="0"/>
        <w:spacing w:before="0" w:after="0"/>
        <w:ind w:left="0" w:righ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2、购领采购文件地点：乐采云平台</w:t>
      </w:r>
    </w:p>
    <w:p w14:paraId="1EF7E0BF">
      <w:pPr>
        <w:widowControl/>
        <w:wordWrap w:val="0"/>
        <w:spacing w:before="0" w:after="0"/>
        <w:ind w:left="0" w:righ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3、采购文件售价：人民币500元整（售后不退）</w:t>
      </w:r>
    </w:p>
    <w:p w14:paraId="3B027887">
      <w:pPr>
        <w:widowControl/>
        <w:wordWrap w:val="0"/>
        <w:spacing w:before="0" w:after="0"/>
        <w:ind w:left="0" w:righ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4、报名方式、购买标书及注意事项：</w:t>
      </w:r>
    </w:p>
    <w:p w14:paraId="0ED6CC77">
      <w:pPr>
        <w:widowControl/>
        <w:wordWrap w:val="0"/>
        <w:spacing w:before="0" w:after="0"/>
        <w:ind w:left="0" w:righ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网上报名（乐采云报名）：请供应商登录乐采云平台（https://www.lecaiyun.com），进入“乐采云”平台进行注册并报名（未注册的供应商请尽早注册，客服电话：95763）。操作路径：乐采云平台-登录-项目采购-获取采购文件-申请获取采购文件。网上报名后，请将标书购买费汇入代理公司账户（缴纳报名费后将缴费截图、可以拷贝的开票信息等资料发代理机构电子邮箱1826066763@qq.com，并马上联系采购代理公司审核），标书款汇入账户信息：</w:t>
      </w:r>
    </w:p>
    <w:p w14:paraId="3019D5A7">
      <w:pPr>
        <w:widowControl/>
        <w:wordWrap w:val="0"/>
        <w:spacing w:before="0" w:after="0"/>
        <w:ind w:left="0" w:righ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单位名称：浙江国际招投标有限公司</w:t>
      </w:r>
    </w:p>
    <w:p w14:paraId="2B3C7843">
      <w:pPr>
        <w:widowControl/>
        <w:wordWrap w:val="0"/>
        <w:spacing w:before="0" w:after="0"/>
        <w:ind w:left="0" w:righ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开户银行：工商银行杭州市武林支行</w:t>
      </w:r>
    </w:p>
    <w:p w14:paraId="45141DFF">
      <w:pPr>
        <w:widowControl/>
        <w:wordWrap w:val="0"/>
        <w:spacing w:before="0" w:after="0"/>
        <w:ind w:left="0" w:righ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账    号：1202021209906782015</w:t>
      </w:r>
    </w:p>
    <w:p w14:paraId="7736E8EA">
      <w:pPr>
        <w:widowControl/>
        <w:wordWrap w:val="0"/>
        <w:spacing w:before="0" w:after="0"/>
        <w:ind w:left="0" w:righ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提示：仅需浏览采购文件的供应商可点击“游客，浏览采购文件”直接下载采购文件浏览，供应商只有在“乐采云平台”完成获取采购文件申请并下载了采购文件后才视作依法获取采购文件（法律法规所指的供应商获取采购文件时间以供应商完成获取采购文件申请后下载采购文件的时间为准）。</w:t>
      </w:r>
    </w:p>
    <w:p w14:paraId="2404B9C0">
      <w:pPr>
        <w:widowControl/>
        <w:wordWrap w:val="0"/>
        <w:spacing w:before="0" w:after="0"/>
        <w:ind w:left="0" w:righ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注：请供应商按上述要求获取采购文件，如未在“乐采云”系统内完成相关流程，引起的投标无效责任自负。</w:t>
      </w:r>
    </w:p>
    <w:p w14:paraId="1ACA7FF4">
      <w:pPr>
        <w:widowControl/>
        <w:wordWrap w:val="0"/>
        <w:spacing w:before="0" w:after="0"/>
        <w:ind w:left="0" w:right="0"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5、标供应商获取采购文件时须提交的文件资料：无。</w:t>
      </w:r>
    </w:p>
    <w:p w14:paraId="5D9FADF6">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kern w:val="0"/>
          <w:szCs w:val="21"/>
          <w:highlight w:val="none"/>
          <w:lang w:val="en-US" w:eastAsia="zh-CN"/>
        </w:rPr>
        <w:t>七</w:t>
      </w:r>
      <w:r>
        <w:rPr>
          <w:rFonts w:hint="eastAsia" w:ascii="宋体" w:hAnsi="宋体" w:eastAsia="宋体" w:cs="宋体"/>
          <w:bCs/>
          <w:kern w:val="0"/>
          <w:szCs w:val="21"/>
          <w:highlight w:val="none"/>
        </w:rPr>
        <w:t>、投标截止时间：</w:t>
      </w:r>
      <w:bookmarkStart w:id="4" w:name="B23_谈判响应文件提交截止日期"/>
      <w:bookmarkEnd w:id="4"/>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9</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14</w:t>
      </w:r>
      <w:r>
        <w:rPr>
          <w:rFonts w:hint="eastAsia" w:ascii="宋体" w:hAnsi="宋体" w:eastAsia="宋体" w:cs="宋体"/>
          <w:bCs/>
          <w:color w:val="0000FF"/>
          <w:kern w:val="0"/>
          <w:szCs w:val="21"/>
          <w:highlight w:val="none"/>
        </w:rPr>
        <w:t>时30分</w:t>
      </w:r>
      <w:r>
        <w:rPr>
          <w:rFonts w:hint="eastAsia" w:ascii="宋体" w:hAnsi="宋体" w:eastAsia="宋体" w:cs="宋体"/>
          <w:bCs/>
          <w:color w:val="auto"/>
          <w:kern w:val="0"/>
          <w:szCs w:val="21"/>
          <w:highlight w:val="none"/>
        </w:rPr>
        <w:t>(北京时间，下同)。</w:t>
      </w:r>
    </w:p>
    <w:p w14:paraId="62EED787">
      <w:pPr>
        <w:widowControl/>
        <w:spacing w:before="60" w:after="60"/>
        <w:ind w:left="575" w:leftChars="29" w:right="60" w:hanging="514" w:hangingChars="245"/>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八</w:t>
      </w:r>
      <w:r>
        <w:rPr>
          <w:rFonts w:hint="eastAsia" w:ascii="宋体" w:hAnsi="宋体" w:eastAsia="宋体" w:cs="宋体"/>
          <w:bCs/>
          <w:kern w:val="0"/>
          <w:szCs w:val="21"/>
          <w:highlight w:val="none"/>
        </w:rPr>
        <w:t>、投标文件提交地点：温州市交通发展集团有限公司2楼开标大厅（温州市鹿城区车站大道669号尚品商务楼）。</w:t>
      </w:r>
    </w:p>
    <w:p w14:paraId="54996B0B">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九</w:t>
      </w:r>
      <w:r>
        <w:rPr>
          <w:rFonts w:hint="eastAsia" w:ascii="宋体" w:hAnsi="宋体" w:eastAsia="宋体" w:cs="宋体"/>
          <w:bCs/>
          <w:kern w:val="0"/>
          <w:szCs w:val="21"/>
          <w:highlight w:val="none"/>
        </w:rPr>
        <w:t>、开标时间：</w:t>
      </w:r>
      <w:bookmarkStart w:id="5" w:name="B26_谈判时间日期"/>
      <w:bookmarkEnd w:id="5"/>
      <w:r>
        <w:rPr>
          <w:rFonts w:hint="eastAsia" w:ascii="宋体" w:hAnsi="宋体" w:eastAsia="宋体" w:cs="宋体"/>
          <w:bCs/>
          <w:kern w:val="0"/>
          <w:szCs w:val="21"/>
          <w:highlight w:val="none"/>
        </w:rPr>
        <w:t>同投标截止时间。</w:t>
      </w:r>
    </w:p>
    <w:p w14:paraId="2601E3D0">
      <w:pPr>
        <w:widowControl/>
        <w:spacing w:before="60" w:after="60"/>
        <w:ind w:left="575" w:leftChars="29" w:right="60" w:hanging="514" w:hangingChars="245"/>
        <w:jc w:val="left"/>
        <w:rPr>
          <w:rFonts w:hint="eastAsia" w:ascii="宋体" w:hAnsi="宋体" w:eastAsia="宋体" w:cs="宋体"/>
          <w:szCs w:val="21"/>
          <w:highlight w:val="none"/>
          <w:shd w:val="clear" w:color="auto" w:fill="FFFFFF"/>
        </w:rPr>
      </w:pPr>
      <w:r>
        <w:rPr>
          <w:rFonts w:hint="eastAsia" w:ascii="宋体" w:hAnsi="宋体" w:eastAsia="宋体" w:cs="宋体"/>
          <w:bCs/>
          <w:kern w:val="0"/>
          <w:szCs w:val="21"/>
          <w:highlight w:val="none"/>
        </w:rPr>
        <w:t>十、开标地点：温州市交通发展集团有限公司2楼开标大厅（温州市鹿城区车站大道669号尚品商务楼）</w:t>
      </w:r>
      <w:r>
        <w:rPr>
          <w:rFonts w:hint="eastAsia" w:ascii="宋体" w:hAnsi="宋体" w:eastAsia="宋体" w:cs="宋体"/>
          <w:szCs w:val="21"/>
          <w:highlight w:val="none"/>
          <w:shd w:val="clear" w:color="auto" w:fill="FFFFFF"/>
        </w:rPr>
        <w:t>。</w:t>
      </w:r>
    </w:p>
    <w:p w14:paraId="1B1C2AF9">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、投标保证金及交付方式：</w:t>
      </w:r>
    </w:p>
    <w:p w14:paraId="4FDB4843">
      <w:pPr>
        <w:widowControl/>
        <w:spacing w:before="60" w:after="60" w:line="280" w:lineRule="exact"/>
        <w:ind w:right="62" w:firstLine="420" w:firstLineChars="200"/>
        <w:jc w:val="left"/>
        <w:rPr>
          <w:rFonts w:hint="eastAsia" w:ascii="宋体" w:hAnsi="宋体" w:eastAsia="宋体" w:cs="宋体"/>
          <w:b/>
          <w:bCs/>
          <w:color w:val="auto"/>
          <w:kern w:val="0"/>
          <w:szCs w:val="21"/>
          <w:highlight w:val="none"/>
        </w:rPr>
      </w:pPr>
      <w:bookmarkStart w:id="6" w:name="B29_谈判保证金"/>
      <w:bookmarkEnd w:id="6"/>
      <w:bookmarkStart w:id="7" w:name="_Hlk3381632"/>
      <w:bookmarkStart w:id="8" w:name="_Hlk516555339"/>
      <w:r>
        <w:rPr>
          <w:rFonts w:hint="eastAsia" w:ascii="宋体" w:hAnsi="宋体" w:eastAsia="宋体" w:cs="宋体"/>
          <w:kern w:val="0"/>
          <w:szCs w:val="21"/>
          <w:highlight w:val="none"/>
        </w:rPr>
        <w:t>投标保证金：人民币</w:t>
      </w:r>
      <w:r>
        <w:rPr>
          <w:rFonts w:hint="eastAsia" w:ascii="宋体" w:hAnsi="宋体" w:eastAsia="宋体" w:cs="宋体"/>
          <w:kern w:val="0"/>
          <w:szCs w:val="21"/>
          <w:highlight w:val="none"/>
          <w:lang w:val="en-US" w:eastAsia="zh-CN"/>
        </w:rPr>
        <w:t>160</w:t>
      </w:r>
      <w:r>
        <w:rPr>
          <w:rFonts w:hint="eastAsia" w:ascii="宋体" w:hAnsi="宋体" w:eastAsia="宋体" w:cs="宋体"/>
          <w:kern w:val="0"/>
          <w:szCs w:val="21"/>
          <w:highlight w:val="none"/>
        </w:rPr>
        <w:t>00元整，</w:t>
      </w:r>
      <w:bookmarkEnd w:id="7"/>
      <w:bookmarkEnd w:id="8"/>
      <w:r>
        <w:rPr>
          <w:rFonts w:hint="eastAsia" w:ascii="宋体" w:hAnsi="宋体" w:eastAsia="宋体" w:cs="宋体"/>
          <w:color w:val="auto"/>
          <w:kern w:val="0"/>
          <w:szCs w:val="21"/>
          <w:highlight w:val="none"/>
        </w:rPr>
        <w:t>采用银行转账形式</w:t>
      </w:r>
      <w:r>
        <w:rPr>
          <w:rFonts w:hint="eastAsia" w:ascii="宋体" w:hAnsi="宋体" w:eastAsia="宋体" w:cs="宋体"/>
          <w:color w:val="auto"/>
          <w:highlight w:val="none"/>
        </w:rPr>
        <w:t>，</w:t>
      </w:r>
      <w:r>
        <w:rPr>
          <w:rFonts w:hint="eastAsia" w:ascii="宋体" w:hAnsi="宋体" w:eastAsia="宋体" w:cs="宋体"/>
          <w:b w:val="0"/>
          <w:bCs w:val="0"/>
          <w:color w:val="auto"/>
          <w:kern w:val="0"/>
          <w:szCs w:val="21"/>
          <w:highlight w:val="none"/>
          <w:u w:val="none"/>
        </w:rPr>
        <w:t>投标保证金要求从</w:t>
      </w:r>
      <w:r>
        <w:rPr>
          <w:rFonts w:hint="eastAsia" w:ascii="宋体" w:hAnsi="宋体" w:eastAsia="宋体" w:cs="宋体"/>
          <w:b w:val="0"/>
          <w:bCs w:val="0"/>
          <w:color w:val="auto"/>
          <w:kern w:val="0"/>
          <w:szCs w:val="21"/>
          <w:highlight w:val="none"/>
          <w:u w:val="none"/>
          <w:lang w:eastAsia="zh-CN"/>
        </w:rPr>
        <w:t>投标供应商</w:t>
      </w:r>
      <w:r>
        <w:rPr>
          <w:rFonts w:hint="eastAsia" w:ascii="宋体" w:hAnsi="宋体" w:eastAsia="宋体" w:cs="宋体"/>
          <w:b w:val="0"/>
          <w:bCs w:val="0"/>
          <w:color w:val="auto"/>
          <w:kern w:val="0"/>
          <w:szCs w:val="21"/>
          <w:highlight w:val="none"/>
          <w:u w:val="none"/>
        </w:rPr>
        <w:t>的银行账号汇出，保证金缴纳时间以到账时间为准。</w:t>
      </w:r>
      <w:r>
        <w:rPr>
          <w:rFonts w:hint="eastAsia" w:ascii="宋体" w:hAnsi="宋体" w:eastAsia="宋体" w:cs="宋体"/>
          <w:color w:val="auto"/>
          <w:kern w:val="0"/>
          <w:szCs w:val="21"/>
          <w:highlight w:val="none"/>
        </w:rPr>
        <w:t>保证金缴纳截止时间：与投标截止时间相同。</w:t>
      </w:r>
      <w:r>
        <w:rPr>
          <w:rFonts w:hint="eastAsia" w:ascii="宋体" w:hAnsi="宋体" w:eastAsia="宋体" w:cs="宋体"/>
          <w:b/>
          <w:bCs/>
          <w:color w:val="auto"/>
          <w:kern w:val="0"/>
          <w:szCs w:val="21"/>
          <w:highlight w:val="none"/>
          <w:lang w:val="en-US" w:eastAsia="zh-CN"/>
        </w:rPr>
        <w:t>保证金缴纳账户与标书款汇入账户信息相同</w:t>
      </w:r>
    </w:p>
    <w:p w14:paraId="3A5D9029">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、其他事项：</w:t>
      </w:r>
    </w:p>
    <w:p w14:paraId="2D31F2C9">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1、供应商认为采购文件使自己的权益受到损害的，可以自采购公告发出之日（采购公告发布当天不算）起6日内，以书面形式向采购人和采购代理机构提出质疑。</w:t>
      </w:r>
    </w:p>
    <w:p w14:paraId="47C4390D">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2、质疑投标人对采购人、采购代理机构的答复不满意或者采购人、采购代理机构未在规定的时间内作出答复的，可以在答复期满后15个工作日内向采购人（集团）的内设监管职能部门投诉。</w:t>
      </w:r>
    </w:p>
    <w:p w14:paraId="7B80A7CA">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温州市交通发展集团有限公司负责对投标人反映的企业本部及所属企业在采购活动中出现的违法违规问题进行投诉回复。投标人认为温州市交通发展集团有限公司投诉回复处理结果不合法的，可以采购人或采购代理机构为对象依法向人民法院提起诉讼。</w:t>
      </w:r>
    </w:p>
    <w:p w14:paraId="28C189AC">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4、采购公告附件的采购文件仅供阅览使用，未按照本公告规定的方式获取采购文件的潜在投标人提起的质疑，采购人及采购代理机构将不予受理、答复。</w:t>
      </w:r>
    </w:p>
    <w:p w14:paraId="07A4B317">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5、投标人如对采购文件有疑问应按采购文件规定的询疑截止时间前提出，逾期提出的，采购组织机构可以不予受理、答复。</w:t>
      </w:r>
    </w:p>
    <w:p w14:paraId="4783E045">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、联系方式</w:t>
      </w:r>
    </w:p>
    <w:p w14:paraId="2EADB030">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采购人名称：</w:t>
      </w:r>
      <w:r>
        <w:rPr>
          <w:rFonts w:hint="eastAsia" w:ascii="宋体" w:hAnsi="宋体" w:eastAsia="宋体" w:cs="宋体"/>
          <w:highlight w:val="none"/>
          <w:lang w:eastAsia="zh-CN"/>
        </w:rPr>
        <w:t>温州市高速公路资产经营有限公司</w:t>
      </w:r>
    </w:p>
    <w:p w14:paraId="506A2912">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温州市汤家桥国大广场东首5-6楼</w:t>
      </w:r>
    </w:p>
    <w:p w14:paraId="3EB79B43">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郑先生</w:t>
      </w:r>
      <w:r>
        <w:rPr>
          <w:rFonts w:hint="eastAsia" w:ascii="宋体" w:hAnsi="宋体" w:eastAsia="宋体" w:cs="宋体"/>
          <w:highlight w:val="none"/>
        </w:rPr>
        <w:t>，联系电话：</w:t>
      </w:r>
      <w:r>
        <w:rPr>
          <w:rFonts w:hint="eastAsia" w:ascii="宋体" w:hAnsi="宋体" w:eastAsia="宋体" w:cs="宋体"/>
          <w:highlight w:val="none"/>
          <w:lang w:eastAsia="zh-CN"/>
        </w:rPr>
        <w:t>13857776332</w:t>
      </w:r>
    </w:p>
    <w:p w14:paraId="5D6A96B2">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14:paraId="2E0B8C6E">
      <w:pPr>
        <w:widowControl/>
        <w:spacing w:before="60" w:after="60"/>
        <w:ind w:left="62" w:right="62" w:firstLine="420" w:firstLineChars="200"/>
        <w:jc w:val="left"/>
        <w:rPr>
          <w:rFonts w:hint="default" w:ascii="宋体" w:hAnsi="宋体" w:eastAsia="宋体" w:cs="宋体"/>
          <w:highlight w:val="none"/>
          <w:lang w:val="en-US" w:eastAsia="zh-CN"/>
        </w:rPr>
      </w:pPr>
      <w:r>
        <w:rPr>
          <w:rFonts w:hint="eastAsia" w:ascii="宋体" w:hAnsi="宋体" w:eastAsia="宋体" w:cs="宋体"/>
          <w:highlight w:val="none"/>
        </w:rPr>
        <w:t>联系人：冯先生</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周群峰</w:t>
      </w:r>
    </w:p>
    <w:p w14:paraId="2A9666FC">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14:paraId="4B054CFC">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14:paraId="1D1BC0B8">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书面质疑受理地点：仁信大厦1412室（温州市鹿城区南汇街道法派路与牛山北路交叉口西北50米吴桥路）</w:t>
      </w:r>
    </w:p>
    <w:p w14:paraId="76B1ABBA">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采购监管部门：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14:paraId="15933DF1">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联系电话：0577-85559092</w:t>
      </w:r>
    </w:p>
    <w:p w14:paraId="330BB373">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温州市高速公路资产经营有限公司</w:t>
      </w:r>
      <w:r>
        <w:rPr>
          <w:rFonts w:hint="eastAsia" w:ascii="宋体" w:hAnsi="宋体" w:eastAsia="宋体" w:cs="宋体"/>
          <w:bCs/>
          <w:kern w:val="0"/>
          <w:szCs w:val="21"/>
          <w:highlight w:val="none"/>
        </w:rPr>
        <w:t xml:space="preserve"> </w:t>
      </w:r>
    </w:p>
    <w:p w14:paraId="17E0941A">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14:paraId="2EF4C837">
      <w:pPr>
        <w:widowControl/>
        <w:spacing w:before="60" w:after="60"/>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5</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 xml:space="preserve"> 8 </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20</w:t>
      </w:r>
      <w:r>
        <w:rPr>
          <w:rFonts w:hint="eastAsia" w:ascii="宋体" w:hAnsi="宋体" w:eastAsia="宋体" w:cs="宋体"/>
          <w:color w:val="0000FF"/>
          <w:kern w:val="0"/>
          <w:szCs w:val="21"/>
          <w:highlight w:val="none"/>
        </w:rPr>
        <w:t>日</w:t>
      </w:r>
    </w:p>
    <w:p w14:paraId="0A0C596E">
      <w:pPr>
        <w:jc w:val="center"/>
        <w:rPr>
          <w:rFonts w:hint="eastAsia" w:ascii="宋体" w:hAnsi="宋体" w:eastAsia="宋体" w:cs="宋体"/>
          <w:sz w:val="24"/>
          <w:highlight w:val="none"/>
        </w:rPr>
      </w:pPr>
      <w:bookmarkStart w:id="9" w:name="_Toc491780522"/>
    </w:p>
    <w:p w14:paraId="763E59AE">
      <w:pPr>
        <w:jc w:val="center"/>
        <w:rPr>
          <w:rFonts w:hint="eastAsia" w:ascii="宋体" w:hAnsi="宋体" w:eastAsia="宋体" w:cs="宋体"/>
          <w:b/>
          <w:bCs/>
          <w:highlight w:val="none"/>
        </w:rPr>
      </w:pPr>
      <w:r>
        <w:rPr>
          <w:rFonts w:hint="eastAsia" w:ascii="宋体" w:hAnsi="宋体" w:eastAsia="宋体" w:cs="宋体"/>
          <w:b/>
          <w:bCs/>
          <w:sz w:val="24"/>
          <w:highlight w:val="none"/>
          <w:lang w:eastAsia="zh-CN"/>
        </w:rPr>
        <w:t>温州市交发集团</w:t>
      </w:r>
      <w:r>
        <w:rPr>
          <w:rFonts w:hint="eastAsia" w:ascii="宋体" w:hAnsi="宋体" w:eastAsia="宋体" w:cs="宋体"/>
          <w:b/>
          <w:bCs/>
          <w:sz w:val="24"/>
          <w:highlight w:val="none"/>
          <w:lang w:val="en-US" w:eastAsia="zh-CN"/>
        </w:rPr>
        <w:t>所属</w:t>
      </w:r>
      <w:r>
        <w:rPr>
          <w:rFonts w:hint="eastAsia" w:ascii="宋体" w:hAnsi="宋体" w:eastAsia="宋体" w:cs="宋体"/>
          <w:b/>
          <w:bCs/>
          <w:sz w:val="24"/>
          <w:highlight w:val="none"/>
          <w:lang w:eastAsia="zh-CN"/>
        </w:rPr>
        <w:t>温州市高速公路资产经营有限公司关于鳌江停车区物业服务</w:t>
      </w:r>
      <w:r>
        <w:rPr>
          <w:rFonts w:hint="eastAsia" w:ascii="宋体" w:hAnsi="宋体" w:eastAsia="宋体" w:cs="宋体"/>
          <w:b/>
          <w:bCs/>
          <w:sz w:val="24"/>
          <w:highlight w:val="none"/>
          <w:lang w:val="en-US" w:eastAsia="zh-CN"/>
        </w:rPr>
        <w:t>项目（自主）</w:t>
      </w:r>
      <w:r>
        <w:rPr>
          <w:rFonts w:hint="eastAsia" w:ascii="宋体" w:hAnsi="宋体" w:eastAsia="宋体" w:cs="宋体"/>
          <w:b/>
          <w:bCs/>
          <w:sz w:val="24"/>
          <w:highlight w:val="none"/>
        </w:rPr>
        <w:t>的征求意见公示</w:t>
      </w:r>
      <w:bookmarkEnd w:id="9"/>
    </w:p>
    <w:p w14:paraId="65AE8A0A">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受</w:t>
      </w:r>
      <w:r>
        <w:rPr>
          <w:rFonts w:hint="eastAsia" w:ascii="宋体" w:hAnsi="宋体" w:eastAsia="宋体" w:cs="宋体"/>
          <w:bCs/>
          <w:kern w:val="0"/>
          <w:szCs w:val="21"/>
          <w:highlight w:val="none"/>
          <w:lang w:eastAsia="zh-CN"/>
        </w:rPr>
        <w:t>温州市高速公路资产经营有限公司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eastAsia="zh-CN"/>
        </w:rPr>
        <w:t>鳌江停车区物业服务</w:t>
      </w:r>
      <w:r>
        <w:rPr>
          <w:rFonts w:hint="eastAsia" w:ascii="宋体" w:hAnsi="宋体" w:eastAsia="宋体" w:cs="宋体"/>
          <w:bCs/>
          <w:kern w:val="0"/>
          <w:szCs w:val="21"/>
          <w:highlight w:val="none"/>
        </w:rPr>
        <w:t>以公开招标方式进行采购。现将本项目采购文件公布如下（详见附件），并公开征求投标供应商及专家意见。</w:t>
      </w:r>
    </w:p>
    <w:p w14:paraId="55C96F52">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14:paraId="75E9F1EB">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14:paraId="6589D410">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2、投标供应商资格条件是否具有明显倾向性和歧视性；</w:t>
      </w:r>
    </w:p>
    <w:p w14:paraId="4B091CD1">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14:paraId="79E89855">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14:paraId="2EBA5436">
      <w:pPr>
        <w:widowControl/>
        <w:spacing w:before="60" w:after="60"/>
        <w:ind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各投标供应商及专家提出修改理由和建议的，请于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8</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25</w:t>
      </w:r>
      <w:r>
        <w:rPr>
          <w:rFonts w:hint="eastAsia" w:ascii="宋体" w:hAnsi="宋体" w:eastAsia="宋体" w:cs="宋体"/>
          <w:bCs/>
          <w:color w:val="0000FF"/>
          <w:kern w:val="0"/>
          <w:szCs w:val="21"/>
          <w:highlight w:val="none"/>
        </w:rPr>
        <w:t>日1</w:t>
      </w:r>
      <w:r>
        <w:rPr>
          <w:rFonts w:hint="eastAsia" w:ascii="宋体" w:hAnsi="宋体" w:eastAsia="宋体" w:cs="宋体"/>
          <w:bCs/>
          <w:color w:val="0000FF"/>
          <w:kern w:val="0"/>
          <w:szCs w:val="21"/>
          <w:highlight w:val="none"/>
          <w:lang w:val="en-US" w:eastAsia="zh-CN"/>
        </w:rPr>
        <w:t>7</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前将书面材料签字（盖公章）并密封后送至仁信大厦1412室（温州市鹿城区南汇街道法派路与牛山北路交叉口西北50米吴桥路）采购代理公司，或先将扫描件及电子版发送至邮箱</w:t>
      </w:r>
      <w:r>
        <w:rPr>
          <w:rFonts w:hint="eastAsia" w:ascii="宋体" w:hAnsi="宋体" w:eastAsia="宋体" w:cs="宋体"/>
          <w:bCs/>
          <w:kern w:val="0"/>
          <w:szCs w:val="21"/>
          <w:highlight w:val="none"/>
          <w:lang w:eastAsia="zh-CN"/>
        </w:rPr>
        <w:t>1826066763</w:t>
      </w:r>
      <w:r>
        <w:rPr>
          <w:rFonts w:hint="eastAsia" w:ascii="宋体" w:hAnsi="宋体" w:eastAsia="宋体" w:cs="宋体"/>
          <w:bCs/>
          <w:kern w:val="0"/>
          <w:szCs w:val="21"/>
          <w:highlight w:val="none"/>
        </w:rPr>
        <w:t>3@qq.com，并同时将该原件书面寄至</w:t>
      </w: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w:t>
      </w:r>
    </w:p>
    <w:p w14:paraId="2FA5762E">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联系人：易先生，联系电话：</w:t>
      </w:r>
      <w:r>
        <w:rPr>
          <w:rFonts w:hint="eastAsia" w:ascii="宋体" w:hAnsi="宋体" w:eastAsia="宋体" w:cs="宋体"/>
          <w:highlight w:val="none"/>
        </w:rPr>
        <w:t>15305718087</w:t>
      </w:r>
      <w:r>
        <w:rPr>
          <w:rFonts w:hint="eastAsia" w:ascii="宋体" w:hAnsi="宋体" w:eastAsia="宋体" w:cs="宋体"/>
          <w:bCs/>
          <w:kern w:val="0"/>
          <w:szCs w:val="21"/>
          <w:highlight w:val="none"/>
        </w:rPr>
        <w:t>。</w:t>
      </w:r>
    </w:p>
    <w:p w14:paraId="57CD3668">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14:paraId="547F6EB7">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14:paraId="5888934A">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温州市高速公路资产经营有限公司</w:t>
      </w:r>
    </w:p>
    <w:p w14:paraId="246A2A13">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14:paraId="0347CE78">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5</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 xml:space="preserve"> 8 </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20</w:t>
      </w:r>
      <w:r>
        <w:rPr>
          <w:rFonts w:hint="eastAsia" w:ascii="宋体" w:hAnsi="宋体" w:eastAsia="宋体" w:cs="宋体"/>
          <w:bCs/>
          <w:color w:val="0000FF"/>
          <w:kern w:val="0"/>
          <w:szCs w:val="21"/>
          <w:highlight w:val="none"/>
        </w:rPr>
        <w:t>日</w:t>
      </w:r>
      <w:bookmarkEnd w:id="2"/>
    </w:p>
    <w:p w14:paraId="22303F07">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227057032"/>
      <w:bookmarkStart w:id="11" w:name="_Toc216667819"/>
      <w:bookmarkStart w:id="12" w:name="_Toc218041725"/>
      <w:bookmarkStart w:id="13" w:name="_Toc217460684"/>
      <w:bookmarkStart w:id="14" w:name="_Toc223933220"/>
      <w:bookmarkStart w:id="15" w:name="_Toc227056845"/>
      <w:bookmarkStart w:id="16" w:name="_Toc219538612"/>
      <w:bookmarkStart w:id="17" w:name="_Toc215415529"/>
      <w:bookmarkStart w:id="18" w:name="_Toc223717603"/>
      <w:bookmarkStart w:id="19" w:name="_Toc227489886"/>
      <w:bookmarkStart w:id="20" w:name="_Toc491780523"/>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14:paraId="12DB9762">
      <w:pPr>
        <w:spacing w:before="156" w:beforeLines="50" w:after="156" w:afterLines="50"/>
        <w:jc w:val="center"/>
        <w:rPr>
          <w:rFonts w:hint="eastAsia" w:ascii="宋体" w:hAnsi="宋体" w:eastAsia="宋体" w:cs="宋体"/>
          <w:b/>
          <w:sz w:val="28"/>
          <w:szCs w:val="28"/>
          <w:highlight w:val="none"/>
        </w:rPr>
      </w:pPr>
      <w:bookmarkStart w:id="21" w:name="_Toc433729304"/>
      <w:bookmarkStart w:id="22" w:name="_Toc401243876"/>
      <w:bookmarkStart w:id="23" w:name="_Toc219538613"/>
      <w:bookmarkStart w:id="24" w:name="_Toc217460685"/>
      <w:bookmarkStart w:id="25" w:name="_Toc218041726"/>
      <w:bookmarkStart w:id="26" w:name="_Toc223933221"/>
      <w:bookmarkStart w:id="27" w:name="_Toc215415530"/>
      <w:bookmarkStart w:id="28" w:name="_Toc216667820"/>
      <w:bookmarkStart w:id="29" w:name="_Toc227057033"/>
      <w:bookmarkStart w:id="30" w:name="_Toc227489887"/>
      <w:bookmarkStart w:id="31" w:name="_Toc227056846"/>
      <w:bookmarkStart w:id="32" w:name="_Toc223717604"/>
      <w:r>
        <w:rPr>
          <w:rFonts w:hint="eastAsia" w:ascii="宋体" w:hAnsi="宋体" w:eastAsia="宋体" w:cs="宋体"/>
          <w:b/>
          <w:sz w:val="28"/>
          <w:szCs w:val="28"/>
          <w:highlight w:val="none"/>
        </w:rPr>
        <w:t>投标人须知前附表</w:t>
      </w:r>
      <w:bookmarkEnd w:id="21"/>
      <w:bookmarkEnd w:id="22"/>
    </w:p>
    <w:tbl>
      <w:tblPr>
        <w:tblStyle w:val="24"/>
        <w:tblW w:w="0" w:type="auto"/>
        <w:jc w:val="center"/>
        <w:tblLayout w:type="fixed"/>
        <w:tblCellMar>
          <w:top w:w="0" w:type="dxa"/>
          <w:left w:w="108" w:type="dxa"/>
          <w:bottom w:w="0" w:type="dxa"/>
          <w:right w:w="108" w:type="dxa"/>
        </w:tblCellMar>
      </w:tblPr>
      <w:tblGrid>
        <w:gridCol w:w="836"/>
        <w:gridCol w:w="1624"/>
        <w:gridCol w:w="6528"/>
      </w:tblGrid>
      <w:tr w14:paraId="10C6CD4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CD77775">
            <w:pPr>
              <w:keepNext w:val="0"/>
              <w:keepLines w:val="0"/>
              <w:pageBreakBefore w:val="0"/>
              <w:kinsoku/>
              <w:wordWrap/>
              <w:overflowPunct/>
              <w:topLinePunct w:val="0"/>
              <w:bidi w:val="0"/>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5835B7C9">
            <w:pPr>
              <w:keepNext w:val="0"/>
              <w:keepLines w:val="0"/>
              <w:pageBreakBefore w:val="0"/>
              <w:kinsoku/>
              <w:wordWrap/>
              <w:overflowPunct/>
              <w:topLinePunct w:val="0"/>
              <w:bidi w:val="0"/>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56D51346">
            <w:pPr>
              <w:keepNext w:val="0"/>
              <w:keepLines w:val="0"/>
              <w:pageBreakBefore w:val="0"/>
              <w:kinsoku/>
              <w:wordWrap/>
              <w:overflowPunct/>
              <w:topLinePunct w:val="0"/>
              <w:bidi w:val="0"/>
              <w:spacing w:line="28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14:paraId="13E61AB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7CB824B">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4B690E9">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19C71AE6">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鳌江停车区物业服务</w:t>
            </w:r>
          </w:p>
        </w:tc>
      </w:tr>
      <w:tr w14:paraId="518B9D1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82C7DB4">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3D1198C">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14:paraId="6D16BB45">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WGSS-JFJT-Z-2025028</w:t>
            </w:r>
          </w:p>
        </w:tc>
      </w:tr>
      <w:tr w14:paraId="3942904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BBEB7E2">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EB329A1">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06C05BB1">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温州市高速公路资产经营有限公司</w:t>
            </w:r>
          </w:p>
          <w:p w14:paraId="5526B735">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温州市汤家桥国大广场东首5-6楼</w:t>
            </w:r>
          </w:p>
          <w:p w14:paraId="753ABAB3">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val="en-US" w:eastAsia="zh-CN"/>
              </w:rPr>
              <w:t>郑先生</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13857776332</w:t>
            </w:r>
          </w:p>
        </w:tc>
      </w:tr>
      <w:tr w14:paraId="1913D8E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244187F">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3AE0818">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361E7217">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代理机构名称：</w:t>
            </w:r>
            <w:r>
              <w:rPr>
                <w:rFonts w:hint="eastAsia" w:ascii="宋体" w:hAnsi="宋体" w:eastAsia="宋体" w:cs="宋体"/>
                <w:kern w:val="0"/>
                <w:sz w:val="18"/>
                <w:szCs w:val="18"/>
                <w:highlight w:val="none"/>
                <w:lang w:eastAsia="zh-CN"/>
              </w:rPr>
              <w:t>浙江国际招投标有限公司</w:t>
            </w:r>
          </w:p>
          <w:p w14:paraId="588A3AF3">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代理机构地址：仁信大厦1412室（温州市鹿城区南汇街道法派路与牛山北路交叉口西北50米吴桥路）</w:t>
            </w:r>
          </w:p>
          <w:p w14:paraId="1B76D97E">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联系人：冯先生</w:t>
            </w:r>
          </w:p>
          <w:p w14:paraId="425F6860">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联系方式：13857723185 邮箱：1826066763@qq.com</w:t>
            </w:r>
          </w:p>
        </w:tc>
      </w:tr>
      <w:tr w14:paraId="4224CB6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F5AA041">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3E6BA61">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756A61C9">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温州市高速公路资产经营有限公司所需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鳌江停车区物业服务</w:t>
            </w:r>
            <w:r>
              <w:rPr>
                <w:rFonts w:hint="eastAsia" w:ascii="宋体" w:hAnsi="宋体" w:eastAsia="宋体" w:cs="宋体"/>
                <w:sz w:val="18"/>
                <w:szCs w:val="18"/>
                <w:highlight w:val="none"/>
              </w:rPr>
              <w:t>，具体</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r>
              <w:rPr>
                <w:rFonts w:hint="eastAsia" w:ascii="宋体" w:hAnsi="宋体" w:eastAsia="宋体" w:cs="宋体"/>
                <w:kern w:val="0"/>
                <w:sz w:val="18"/>
                <w:szCs w:val="18"/>
                <w:highlight w:val="none"/>
              </w:rPr>
              <w:t>。</w:t>
            </w:r>
          </w:p>
        </w:tc>
      </w:tr>
      <w:tr w14:paraId="3C60FCC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7635626">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811676B">
            <w:pPr>
              <w:keepNext w:val="0"/>
              <w:keepLines w:val="0"/>
              <w:pageBreakBefore w:val="0"/>
              <w:widowControl/>
              <w:kinsoku/>
              <w:wordWrap/>
              <w:overflowPunct/>
              <w:topLinePunct w:val="0"/>
              <w:bidi w:val="0"/>
              <w:snapToGrid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最高限价</w:t>
            </w:r>
          </w:p>
        </w:tc>
        <w:tc>
          <w:tcPr>
            <w:tcW w:w="6528" w:type="dxa"/>
            <w:tcBorders>
              <w:top w:val="single" w:color="auto" w:sz="4" w:space="0"/>
              <w:left w:val="single" w:color="auto" w:sz="4" w:space="0"/>
              <w:bottom w:val="single" w:color="auto" w:sz="4" w:space="0"/>
              <w:right w:val="single" w:color="auto" w:sz="4" w:space="0"/>
            </w:tcBorders>
            <w:vAlign w:val="center"/>
          </w:tcPr>
          <w:p w14:paraId="1B87466D">
            <w:pPr>
              <w:keepNext w:val="0"/>
              <w:keepLines w:val="0"/>
              <w:pageBreakBefore w:val="0"/>
              <w:kinsoku/>
              <w:wordWrap/>
              <w:overflowPunct/>
              <w:topLinePunct w:val="0"/>
              <w:bidi w:val="0"/>
              <w:spacing w:line="280" w:lineRule="exact"/>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u w:val="single"/>
              </w:rPr>
              <w:t>▲本项目最高限价为人民币</w:t>
            </w:r>
            <w:r>
              <w:rPr>
                <w:rFonts w:hint="eastAsia" w:ascii="宋体" w:hAnsi="宋体" w:eastAsia="宋体" w:cs="宋体"/>
                <w:b/>
                <w:kern w:val="0"/>
                <w:sz w:val="18"/>
                <w:szCs w:val="18"/>
                <w:highlight w:val="none"/>
                <w:u w:val="single"/>
                <w:lang w:val="en-US" w:eastAsia="zh-CN"/>
              </w:rPr>
              <w:t>158</w:t>
            </w:r>
            <w:r>
              <w:rPr>
                <w:rFonts w:hint="eastAsia" w:ascii="宋体" w:hAnsi="宋体" w:eastAsia="宋体" w:cs="宋体"/>
                <w:b/>
                <w:kern w:val="0"/>
                <w:sz w:val="18"/>
                <w:szCs w:val="18"/>
                <w:highlight w:val="none"/>
                <w:u w:val="single"/>
              </w:rPr>
              <w:t>万元，投标供应商的投标报价超出</w:t>
            </w:r>
            <w:r>
              <w:rPr>
                <w:rFonts w:hint="eastAsia" w:ascii="宋体" w:hAnsi="宋体" w:eastAsia="宋体" w:cs="宋体"/>
                <w:b/>
                <w:kern w:val="0"/>
                <w:sz w:val="18"/>
                <w:szCs w:val="18"/>
                <w:highlight w:val="none"/>
                <w:u w:val="single"/>
                <w:lang w:val="en-US" w:eastAsia="zh-CN"/>
              </w:rPr>
              <w:t>最高限价</w:t>
            </w:r>
            <w:r>
              <w:rPr>
                <w:rFonts w:hint="eastAsia" w:ascii="宋体" w:hAnsi="宋体" w:eastAsia="宋体" w:cs="宋体"/>
                <w:b/>
                <w:kern w:val="0"/>
                <w:sz w:val="18"/>
                <w:szCs w:val="18"/>
                <w:highlight w:val="none"/>
                <w:u w:val="single"/>
              </w:rPr>
              <w:t>（大于</w:t>
            </w:r>
            <w:r>
              <w:rPr>
                <w:rFonts w:hint="eastAsia" w:ascii="宋体" w:hAnsi="宋体" w:eastAsia="宋体" w:cs="宋体"/>
                <w:b/>
                <w:kern w:val="0"/>
                <w:sz w:val="18"/>
                <w:szCs w:val="18"/>
                <w:highlight w:val="none"/>
                <w:u w:val="single"/>
                <w:lang w:val="en-US" w:eastAsia="zh-CN"/>
              </w:rPr>
              <w:t>158万元</w:t>
            </w:r>
            <w:r>
              <w:rPr>
                <w:rFonts w:hint="eastAsia" w:ascii="宋体" w:hAnsi="宋体" w:eastAsia="宋体" w:cs="宋体"/>
                <w:b/>
                <w:kern w:val="0"/>
                <w:sz w:val="18"/>
                <w:szCs w:val="18"/>
                <w:highlight w:val="none"/>
                <w:u w:val="single"/>
              </w:rPr>
              <w:t>）的作无效标处理</w:t>
            </w:r>
            <w:r>
              <w:rPr>
                <w:rFonts w:hint="eastAsia" w:ascii="宋体" w:hAnsi="宋体" w:eastAsia="宋体" w:cs="宋体"/>
                <w:b/>
                <w:kern w:val="0"/>
                <w:sz w:val="18"/>
                <w:szCs w:val="18"/>
                <w:highlight w:val="none"/>
              </w:rPr>
              <w:t>。</w:t>
            </w:r>
          </w:p>
        </w:tc>
      </w:tr>
      <w:tr w14:paraId="107E1C7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B212C24">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DFA92AD">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服务</w:t>
            </w:r>
            <w:r>
              <w:rPr>
                <w:rFonts w:hint="eastAsia" w:ascii="宋体" w:hAnsi="宋体" w:eastAsia="宋体" w:cs="宋体"/>
                <w:kern w:val="0"/>
                <w:sz w:val="18"/>
                <w:szCs w:val="18"/>
                <w:highlight w:val="none"/>
              </w:rPr>
              <w:t>期限</w:t>
            </w:r>
          </w:p>
        </w:tc>
        <w:tc>
          <w:tcPr>
            <w:tcW w:w="6528" w:type="dxa"/>
            <w:tcBorders>
              <w:top w:val="single" w:color="auto" w:sz="4" w:space="0"/>
              <w:left w:val="single" w:color="auto" w:sz="4" w:space="0"/>
              <w:bottom w:val="single" w:color="auto" w:sz="4" w:space="0"/>
              <w:right w:val="single" w:color="auto" w:sz="4" w:space="0"/>
            </w:tcBorders>
            <w:vAlign w:val="center"/>
          </w:tcPr>
          <w:p w14:paraId="7A784C3C">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合同签订之日起1年，采用“1+1</w:t>
            </w:r>
            <w:r>
              <w:rPr>
                <w:rFonts w:hint="eastAsia" w:ascii="宋体" w:hAnsi="宋体" w:eastAsia="宋体" w:cs="宋体"/>
                <w:kern w:val="0"/>
                <w:sz w:val="18"/>
                <w:szCs w:val="18"/>
                <w:highlight w:val="none"/>
                <w:lang w:val="en-US" w:eastAsia="zh-CN"/>
              </w:rPr>
              <w:t>年</w:t>
            </w:r>
            <w:r>
              <w:rPr>
                <w:rFonts w:hint="eastAsia" w:ascii="宋体" w:hAnsi="宋体" w:eastAsia="宋体" w:cs="宋体"/>
                <w:kern w:val="0"/>
                <w:sz w:val="18"/>
                <w:szCs w:val="18"/>
                <w:highlight w:val="none"/>
              </w:rPr>
              <w:t>”模式，合同期满后，经经营公司各项考核合格后，合同可以顺延1年。</w:t>
            </w:r>
          </w:p>
        </w:tc>
      </w:tr>
      <w:tr w14:paraId="1C2CE9A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D5DDFDF">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419BB22">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6748047F">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b/>
                <w:bCs/>
                <w:kern w:val="0"/>
                <w:sz w:val="18"/>
                <w:szCs w:val="18"/>
                <w:highlight w:val="none"/>
              </w:rPr>
              <w:t>见采购公告中的要求</w:t>
            </w:r>
            <w:r>
              <w:rPr>
                <w:rFonts w:hint="eastAsia" w:ascii="宋体" w:hAnsi="宋体" w:eastAsia="宋体" w:cs="宋体"/>
                <w:b/>
                <w:bCs/>
                <w:kern w:val="0"/>
                <w:sz w:val="18"/>
                <w:szCs w:val="18"/>
                <w:highlight w:val="none"/>
                <w:lang w:eastAsia="zh-CN"/>
              </w:rPr>
              <w:t>。</w:t>
            </w:r>
          </w:p>
        </w:tc>
      </w:tr>
      <w:tr w14:paraId="2E4DC53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B11A2F6">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43D8F43">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2578AE1F">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14:paraId="162F801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CCDA8A0">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608BCE4">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41E337F7">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不组织</w:t>
            </w:r>
            <w:r>
              <w:rPr>
                <w:rFonts w:hint="eastAsia" w:ascii="宋体" w:hAnsi="宋体" w:eastAsia="宋体" w:cs="宋体"/>
                <w:kern w:val="0"/>
                <w:sz w:val="18"/>
                <w:szCs w:val="18"/>
                <w:highlight w:val="none"/>
                <w:lang w:eastAsia="zh-CN"/>
              </w:rPr>
              <w:t>，投标供应商若需踏勘现场，请联系</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lang w:eastAsia="zh-CN"/>
              </w:rPr>
              <w:t>人</w:t>
            </w:r>
          </w:p>
        </w:tc>
      </w:tr>
      <w:tr w14:paraId="3513AF7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FB22791">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4752561">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55B8075D">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14:paraId="062DE07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646550A">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931D051">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14:paraId="32214327">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询疑</w:t>
            </w:r>
            <w:r>
              <w:rPr>
                <w:rFonts w:hint="eastAsia" w:ascii="宋体" w:hAnsi="宋体" w:eastAsia="宋体" w:cs="宋体"/>
                <w:kern w:val="0"/>
                <w:sz w:val="18"/>
                <w:szCs w:val="18"/>
                <w:highlight w:val="none"/>
              </w:rPr>
              <w:t>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5</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8</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25日</w:t>
            </w:r>
            <w:r>
              <w:rPr>
                <w:rFonts w:hint="eastAsia" w:ascii="宋体" w:hAnsi="宋体" w:eastAsia="宋体" w:cs="宋体"/>
                <w:color w:val="0000FF"/>
                <w:kern w:val="0"/>
                <w:sz w:val="18"/>
                <w:szCs w:val="18"/>
                <w:highlight w:val="none"/>
              </w:rPr>
              <w:t>1</w:t>
            </w:r>
            <w:r>
              <w:rPr>
                <w:rFonts w:hint="eastAsia" w:ascii="宋体" w:hAnsi="宋体" w:eastAsia="宋体" w:cs="宋体"/>
                <w:color w:val="0000FF"/>
                <w:kern w:val="0"/>
                <w:sz w:val="18"/>
                <w:szCs w:val="18"/>
                <w:highlight w:val="none"/>
                <w:lang w:val="en-US" w:eastAsia="zh-CN"/>
              </w:rPr>
              <w:t>7</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（以公告为准）</w:t>
            </w:r>
          </w:p>
          <w:p w14:paraId="4A212713">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澄清文件提交：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30"/>
                <w:rFonts w:hint="eastAsia" w:ascii="宋体" w:hAnsi="宋体" w:eastAsia="宋体" w:cs="宋体"/>
                <w:color w:val="auto"/>
                <w:kern w:val="0"/>
                <w:sz w:val="18"/>
                <w:szCs w:val="18"/>
                <w:highlight w:val="none"/>
              </w:rPr>
              <w:t>澄清文件加盖公章后以扫描件发送至邮箱</w:t>
            </w:r>
            <w:r>
              <w:rPr>
                <w:rStyle w:val="30"/>
                <w:rFonts w:hint="eastAsia" w:ascii="宋体" w:hAnsi="宋体" w:eastAsia="宋体" w:cs="宋体"/>
                <w:color w:val="auto"/>
                <w:kern w:val="0"/>
                <w:sz w:val="18"/>
                <w:szCs w:val="18"/>
                <w:highlight w:val="none"/>
                <w:lang w:eastAsia="zh-CN"/>
              </w:rPr>
              <w:t>1826066763</w:t>
            </w:r>
            <w:r>
              <w:rPr>
                <w:rStyle w:val="30"/>
                <w:rFonts w:hint="eastAsia" w:ascii="宋体" w:hAnsi="宋体" w:eastAsia="宋体" w:cs="宋体"/>
                <w:color w:val="auto"/>
                <w:kern w:val="0"/>
                <w:sz w:val="18"/>
                <w:szCs w:val="18"/>
                <w:highlight w:val="none"/>
              </w:rPr>
              <w:t>@qq.com</w:t>
            </w:r>
            <w:r>
              <w:rPr>
                <w:rStyle w:val="30"/>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14:paraId="5A38D915">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9B0E6DE">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9B81296">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46A88EE8">
            <w:pPr>
              <w:keepNext w:val="0"/>
              <w:keepLines w:val="0"/>
              <w:pageBreakBefore w:val="0"/>
              <w:kinsoku/>
              <w:wordWrap/>
              <w:overflowPunct/>
              <w:topLinePunct w:val="0"/>
              <w:bidi w:val="0"/>
              <w:adjustRightInd w:val="0"/>
              <w:spacing w:line="280" w:lineRule="exact"/>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14:paraId="2334C4F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77E2BA8">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04041FD">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14:paraId="4A373047">
            <w:pPr>
              <w:keepNext w:val="0"/>
              <w:keepLines w:val="0"/>
              <w:pageBreakBefore w:val="0"/>
              <w:widowControl/>
              <w:kinsoku/>
              <w:wordWrap/>
              <w:overflowPunct/>
              <w:topLinePunct w:val="0"/>
              <w:bidi w:val="0"/>
              <w:adjustRightInd w:val="0"/>
              <w:spacing w:line="280" w:lineRule="exact"/>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否，证照、证件和证明文件的原件除外</w:t>
            </w:r>
          </w:p>
        </w:tc>
      </w:tr>
      <w:tr w14:paraId="3C31F52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C1D6361">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33EECE8">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19791DA3">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14:paraId="25F4F21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E567429">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7FF2D6A">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50A1331A">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14:paraId="6763401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284CD63">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57EC769">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56967D5D">
            <w:pPr>
              <w:keepNext w:val="0"/>
              <w:keepLines w:val="0"/>
              <w:pageBreakBefore w:val="0"/>
              <w:kinsoku/>
              <w:wordWrap/>
              <w:overflowPunct/>
              <w:topLinePunct w:val="0"/>
              <w:bidi w:val="0"/>
              <w:spacing w:line="280" w:lineRule="exact"/>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14:paraId="491EF7C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95B8D11">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14A424AC">
            <w:pPr>
              <w:keepNext w:val="0"/>
              <w:keepLines w:val="0"/>
              <w:pageBreakBefore w:val="0"/>
              <w:kinsoku/>
              <w:wordWrap/>
              <w:overflowPunct/>
              <w:topLinePunct w:val="0"/>
              <w:bidi w:val="0"/>
              <w:spacing w:line="28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14:paraId="759521EE">
            <w:pPr>
              <w:keepNext w:val="0"/>
              <w:keepLines w:val="0"/>
              <w:pageBreakBefore w:val="0"/>
              <w:kinsoku/>
              <w:wordWrap/>
              <w:overflowPunct/>
              <w:topLinePunct w:val="0"/>
              <w:bidi w:val="0"/>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p w14:paraId="1118903B">
            <w:pPr>
              <w:keepNext w:val="0"/>
              <w:keepLines w:val="0"/>
              <w:pageBreakBefore w:val="0"/>
              <w:kinsoku/>
              <w:wordWrap/>
              <w:overflowPunct/>
              <w:topLinePunct w:val="0"/>
              <w:bidi w:val="0"/>
              <w:spacing w:line="280" w:lineRule="exact"/>
              <w:rPr>
                <w:rFonts w:hint="eastAsia" w:ascii="宋体" w:hAnsi="宋体" w:eastAsia="宋体" w:cs="宋体"/>
                <w:b/>
                <w:sz w:val="18"/>
                <w:szCs w:val="18"/>
                <w:highlight w:val="none"/>
              </w:rPr>
            </w:pPr>
            <w:r>
              <w:rPr>
                <w:rFonts w:hint="eastAsia" w:ascii="宋体" w:hAnsi="宋体" w:eastAsia="宋体" w:cs="宋体"/>
                <w:sz w:val="18"/>
                <w:szCs w:val="18"/>
                <w:highlight w:val="none"/>
              </w:rPr>
              <w:t>提供商务（报价）标一式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tc>
      </w:tr>
      <w:tr w14:paraId="5869224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C9D543C">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839E552">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3141A60F">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5</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9</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2</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14</w:t>
            </w:r>
            <w:r>
              <w:rPr>
                <w:rFonts w:hint="eastAsia" w:ascii="宋体" w:hAnsi="宋体" w:eastAsia="宋体" w:cs="宋体"/>
                <w:b/>
                <w:bCs/>
                <w:color w:val="0000FF"/>
                <w:kern w:val="0"/>
                <w:sz w:val="18"/>
                <w:szCs w:val="18"/>
                <w:highlight w:val="none"/>
              </w:rPr>
              <w:t>时30分</w:t>
            </w:r>
          </w:p>
          <w:p w14:paraId="413A8A2E">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递交地点：温州市交通发展集团有限公司2楼开标大厅（温州市鹿城区车站大道669号尚品商务楼）</w:t>
            </w:r>
          </w:p>
        </w:tc>
      </w:tr>
      <w:tr w14:paraId="497FD73C">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3BF6EBC">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5E21309">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14:paraId="089C3C5F">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44F0DBB2">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14:paraId="4C959634">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开标地点：温州市交通发展集团有限公司2楼开标大厅（温州市鹿城区车站大道669号尚品商务楼）</w:t>
            </w:r>
          </w:p>
        </w:tc>
      </w:tr>
      <w:tr w14:paraId="4FC9663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FB9A981">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AB93D48">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03A3BCFC">
            <w:pPr>
              <w:keepNext w:val="0"/>
              <w:keepLines w:val="0"/>
              <w:pageBreakBefore w:val="0"/>
              <w:kinsoku/>
              <w:wordWrap/>
              <w:overflowPunct/>
              <w:topLinePunct w:val="0"/>
              <w:bidi w:val="0"/>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14:paraId="6FB611D6">
            <w:pPr>
              <w:keepNext w:val="0"/>
              <w:keepLines w:val="0"/>
              <w:pageBreakBefore w:val="0"/>
              <w:kinsoku/>
              <w:wordWrap/>
              <w:overflowPunct/>
              <w:topLinePunct w:val="0"/>
              <w:bidi w:val="0"/>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2.公布在投标截止时间前递交投标文件的投标供应商名称，并点名确认投标供应商是否派授权代表到场；</w:t>
            </w:r>
          </w:p>
          <w:p w14:paraId="7D863068">
            <w:pPr>
              <w:keepNext w:val="0"/>
              <w:keepLines w:val="0"/>
              <w:pageBreakBefore w:val="0"/>
              <w:kinsoku/>
              <w:wordWrap/>
              <w:overflowPunct/>
              <w:topLinePunct w:val="0"/>
              <w:bidi w:val="0"/>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14:paraId="7D5FD85C">
            <w:pPr>
              <w:keepNext w:val="0"/>
              <w:keepLines w:val="0"/>
              <w:pageBreakBefore w:val="0"/>
              <w:kinsoku/>
              <w:wordWrap/>
              <w:overflowPunct/>
              <w:topLinePunct w:val="0"/>
              <w:bidi w:val="0"/>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4.密封情况检查：由投标供应商或其推选的代表检查投标文件密封情况；</w:t>
            </w:r>
          </w:p>
          <w:p w14:paraId="3B188FC7">
            <w:pPr>
              <w:keepNext w:val="0"/>
              <w:keepLines w:val="0"/>
              <w:pageBreakBefore w:val="0"/>
              <w:kinsoku/>
              <w:wordWrap/>
              <w:overflowPunct/>
              <w:topLinePunct w:val="0"/>
              <w:bidi w:val="0"/>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开启技术资信部分投标文件、开启商务（报价）文件；</w:t>
            </w:r>
            <w:r>
              <w:rPr>
                <w:rFonts w:hint="eastAsia" w:ascii="宋体" w:hAnsi="宋体" w:eastAsia="宋体" w:cs="宋体"/>
                <w:bCs/>
                <w:sz w:val="18"/>
                <w:szCs w:val="18"/>
                <w:highlight w:val="none"/>
              </w:rPr>
              <w:t>宣读“开标一览表”中包括投标报价等内容。</w:t>
            </w:r>
          </w:p>
          <w:p w14:paraId="6C276AF6">
            <w:pPr>
              <w:keepNext w:val="0"/>
              <w:keepLines w:val="0"/>
              <w:pageBreakBefore w:val="0"/>
              <w:kinsoku/>
              <w:wordWrap/>
              <w:overflowPunct/>
              <w:topLinePunct w:val="0"/>
              <w:bidi w:val="0"/>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6.确认开标结果：投标供应商授权代表对开标记录进行当场校核及勘误，并签字确认；并同时由记录人、核对人当场签字确认。</w:t>
            </w:r>
          </w:p>
          <w:p w14:paraId="6BDDD62A">
            <w:pPr>
              <w:keepNext w:val="0"/>
              <w:keepLines w:val="0"/>
              <w:pageBreakBefore w:val="0"/>
              <w:kinsoku/>
              <w:wordWrap/>
              <w:overflowPunct/>
              <w:topLinePunct w:val="0"/>
              <w:bidi w:val="0"/>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14:paraId="5BC22124">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8.投标供应商授权代表未参加开标会议；未到场签字确认的，不影响开标，评标过程，视同认可开标结果；事后不得对采购相关人员、开标过程和开标结果提出异议。</w:t>
            </w:r>
          </w:p>
        </w:tc>
      </w:tr>
      <w:tr w14:paraId="43AFF51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8B99D33">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28C3FC8">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14:paraId="0FC7EA9E">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5759C343">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14:paraId="7FE8AD97">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915BC30">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F16A4C1">
            <w:pPr>
              <w:keepNext w:val="0"/>
              <w:keepLines w:val="0"/>
              <w:pageBreakBefore w:val="0"/>
              <w:kinsoku/>
              <w:wordWrap/>
              <w:overflowPunct/>
              <w:topLinePunct w:val="0"/>
              <w:bidi w:val="0"/>
              <w:spacing w:line="28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446EBBB9">
            <w:pPr>
              <w:keepNext w:val="0"/>
              <w:keepLines w:val="0"/>
              <w:pageBreakBefore w:val="0"/>
              <w:kinsoku/>
              <w:wordWrap/>
              <w:overflowPunct/>
              <w:topLinePunct w:val="0"/>
              <w:bidi w:val="0"/>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履约担保的形式：履约保证金（转账形式）</w:t>
            </w:r>
          </w:p>
          <w:p w14:paraId="6CF21139">
            <w:pPr>
              <w:keepNext w:val="0"/>
              <w:keepLines w:val="0"/>
              <w:pageBreakBefore w:val="0"/>
              <w:kinsoku/>
              <w:wordWrap/>
              <w:overflowPunct/>
              <w:topLinePunct w:val="0"/>
              <w:bidi w:val="0"/>
              <w:spacing w:line="28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履约担保的金额：合同价的</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w:t>
            </w:r>
          </w:p>
          <w:p w14:paraId="4A1EE1C2">
            <w:pPr>
              <w:keepNext w:val="0"/>
              <w:keepLines w:val="0"/>
              <w:pageBreakBefore w:val="0"/>
              <w:kinsoku/>
              <w:wordWrap/>
              <w:overflowPunct/>
              <w:topLinePunct w:val="0"/>
              <w:bidi w:val="0"/>
              <w:spacing w:line="280" w:lineRule="exact"/>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须按规定向采购人一次性提交履约保证金。</w:t>
            </w:r>
          </w:p>
        </w:tc>
      </w:tr>
      <w:tr w14:paraId="3C5F4AE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0AF06B1">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9AF9C05">
            <w:pPr>
              <w:keepNext w:val="0"/>
              <w:keepLines w:val="0"/>
              <w:pageBreakBefore w:val="0"/>
              <w:kinsoku/>
              <w:wordWrap/>
              <w:overflowPunct/>
              <w:topLinePunct w:val="0"/>
              <w:bidi w:val="0"/>
              <w:spacing w:line="28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5FB518D2">
            <w:pPr>
              <w:keepNext w:val="0"/>
              <w:keepLines w:val="0"/>
              <w:pageBreakBefore w:val="0"/>
              <w:kinsoku/>
              <w:wordWrap/>
              <w:overflowPunct/>
              <w:topLinePunct w:val="0"/>
              <w:autoSpaceDE w:val="0"/>
              <w:autoSpaceDN w:val="0"/>
              <w:bidi w:val="0"/>
              <w:spacing w:line="28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14:paraId="062CD243">
            <w:pPr>
              <w:keepNext w:val="0"/>
              <w:keepLines w:val="0"/>
              <w:pageBreakBefore w:val="0"/>
              <w:kinsoku/>
              <w:wordWrap/>
              <w:overflowPunct/>
              <w:topLinePunct w:val="0"/>
              <w:bidi w:val="0"/>
              <w:spacing w:line="28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sz w:val="18"/>
                <w:szCs w:val="18"/>
                <w:highlight w:val="none"/>
                <w:lang w:eastAsia="zh-CN"/>
              </w:rPr>
              <w:t>1826066763</w:t>
            </w:r>
            <w:r>
              <w:rPr>
                <w:rFonts w:hint="eastAsia" w:ascii="宋体" w:hAnsi="宋体" w:eastAsia="宋体" w:cs="宋体"/>
                <w:bCs/>
                <w:snapToGrid w:val="0"/>
                <w:sz w:val="18"/>
                <w:szCs w:val="18"/>
                <w:highlight w:val="none"/>
              </w:rPr>
              <w:t>@qq.com。</w:t>
            </w:r>
          </w:p>
        </w:tc>
      </w:tr>
      <w:tr w14:paraId="7726915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3CE97F0">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75FF4E7">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2E25AC3B">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1、采购文件、采购公告中如有前后不一致的，一律以本“投标供应商须知前附表”为准；</w:t>
            </w:r>
          </w:p>
          <w:p w14:paraId="540E11A6">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14:paraId="213EFA69">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14:paraId="3ABF2DBA">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温州市高速公路资产经营有限公司</w:t>
            </w:r>
            <w:r>
              <w:rPr>
                <w:rFonts w:hint="eastAsia" w:ascii="宋体" w:hAnsi="宋体" w:eastAsia="宋体" w:cs="宋体"/>
                <w:kern w:val="0"/>
                <w:sz w:val="18"/>
                <w:szCs w:val="18"/>
                <w:highlight w:val="none"/>
              </w:rPr>
              <w:t>纪检监察室</w:t>
            </w:r>
          </w:p>
          <w:p w14:paraId="7B0F808D">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联系电话：0577-85559092</w:t>
            </w:r>
          </w:p>
        </w:tc>
      </w:tr>
      <w:tr w14:paraId="3367BA0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608D612">
            <w:pPr>
              <w:keepNext w:val="0"/>
              <w:keepLines w:val="0"/>
              <w:pageBreakBefore w:val="0"/>
              <w:numPr>
                <w:ilvl w:val="0"/>
                <w:numId w:val="2"/>
              </w:numPr>
              <w:kinsoku/>
              <w:wordWrap/>
              <w:overflowPunct/>
              <w:topLinePunct w:val="0"/>
              <w:bidi w:val="0"/>
              <w:spacing w:line="28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474519A">
            <w:pPr>
              <w:keepNext w:val="0"/>
              <w:keepLines w:val="0"/>
              <w:pageBreakBefore w:val="0"/>
              <w:kinsoku/>
              <w:wordWrap/>
              <w:overflowPunct/>
              <w:topLinePunct w:val="0"/>
              <w:bidi w:val="0"/>
              <w:spacing w:line="28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1395844B">
            <w:pPr>
              <w:keepNext w:val="0"/>
              <w:keepLines w:val="0"/>
              <w:pageBreakBefore w:val="0"/>
              <w:kinsoku/>
              <w:wordWrap/>
              <w:overflowPunct/>
              <w:topLinePunct w:val="0"/>
              <w:bidi w:val="0"/>
              <w:spacing w:line="28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14:paraId="7DD707AB">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1666CB9F">
            <w:pPr>
              <w:keepNext w:val="0"/>
              <w:keepLines w:val="0"/>
              <w:pageBreakBefore w:val="0"/>
              <w:kinsoku/>
              <w:wordWrap/>
              <w:overflowPunct/>
              <w:topLinePunct w:val="0"/>
              <w:bidi w:val="0"/>
              <w:spacing w:line="28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14:paraId="6D0E3243">
      <w:pPr>
        <w:rPr>
          <w:rFonts w:hint="eastAsia" w:ascii="宋体" w:hAnsi="宋体" w:eastAsia="宋体" w:cs="宋体"/>
          <w:szCs w:val="24"/>
          <w:highlight w:val="none"/>
        </w:rPr>
      </w:pPr>
    </w:p>
    <w:p w14:paraId="1D746A42">
      <w:pPr>
        <w:spacing w:before="156" w:beforeLines="50" w:after="156"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14:paraId="24DA5D30">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14:paraId="7E82B5E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w:t>
      </w:r>
      <w:r>
        <w:rPr>
          <w:rFonts w:hint="eastAsia" w:ascii="宋体" w:hAnsi="宋体" w:eastAsia="宋体" w:cs="宋体"/>
          <w:sz w:val="22"/>
          <w:highlight w:val="none"/>
          <w:lang w:eastAsia="zh-CN"/>
        </w:rPr>
        <w:t>《温州市市属国有企业采购管理办法》（温国资委〔2024〕第51号）</w:t>
      </w:r>
      <w:r>
        <w:rPr>
          <w:rFonts w:hint="eastAsia" w:ascii="宋体" w:hAnsi="宋体" w:eastAsia="宋体" w:cs="宋体"/>
          <w:sz w:val="22"/>
          <w:highlight w:val="none"/>
        </w:rPr>
        <w:t>等有关法律、法规组织和实施的。</w:t>
      </w:r>
    </w:p>
    <w:p w14:paraId="20F0EE92">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14:paraId="2D7B614A">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14:paraId="5815F74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14:paraId="0EC68390">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，须持有《</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授权书》。</w:t>
      </w:r>
    </w:p>
    <w:p w14:paraId="339B040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14:paraId="3BF5D290">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14:paraId="3A450929">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14:paraId="3360BA3B">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14:paraId="12742007">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14:paraId="0AFF4D50">
      <w:pPr>
        <w:spacing w:before="156" w:beforeLines="50" w:after="156" w:afterLines="50"/>
        <w:jc w:val="center"/>
        <w:rPr>
          <w:rFonts w:hint="eastAsia" w:ascii="宋体" w:hAnsi="宋体" w:eastAsia="宋体" w:cs="宋体"/>
          <w:b/>
          <w:sz w:val="28"/>
          <w:szCs w:val="28"/>
          <w:highlight w:val="none"/>
        </w:rPr>
      </w:pPr>
      <w:bookmarkStart w:id="33" w:name="_Toc205005287"/>
      <w:bookmarkStart w:id="34" w:name="_Toc209250720"/>
      <w:bookmarkStart w:id="35" w:name="_Toc205877453"/>
      <w:bookmarkStart w:id="36" w:name="_Toc218041727"/>
      <w:bookmarkStart w:id="37" w:name="_Toc207609182"/>
      <w:bookmarkStart w:id="38" w:name="_Toc205004969"/>
      <w:bookmarkStart w:id="39" w:name="_Toc215415531"/>
      <w:bookmarkStart w:id="40" w:name="_Toc223933222"/>
      <w:bookmarkStart w:id="41" w:name="_Toc209261433"/>
      <w:bookmarkStart w:id="42" w:name="_Toc227057034"/>
      <w:bookmarkStart w:id="43" w:name="_Toc227056847"/>
      <w:bookmarkStart w:id="44" w:name="_Toc210879709"/>
      <w:bookmarkStart w:id="45" w:name="_Toc214365791"/>
      <w:bookmarkStart w:id="46" w:name="_Toc204578576"/>
      <w:bookmarkStart w:id="47" w:name="_Toc227489888"/>
      <w:bookmarkStart w:id="48" w:name="_Toc209261366"/>
      <w:bookmarkStart w:id="49" w:name="_Toc204491318"/>
      <w:bookmarkStart w:id="50" w:name="_Toc205703103"/>
      <w:bookmarkStart w:id="51" w:name="_Toc216667821"/>
      <w:bookmarkStart w:id="52" w:name="_Toc209332634"/>
      <w:bookmarkStart w:id="53" w:name="_Toc219538614"/>
      <w:bookmarkStart w:id="54" w:name="_Toc217460686"/>
      <w:bookmarkStart w:id="55" w:name="_Toc205877558"/>
      <w:bookmarkStart w:id="56" w:name="_Toc209251128"/>
      <w:bookmarkStart w:id="57" w:name="_Toc223717605"/>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E1FA06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14:paraId="0D3F5186">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14:paraId="41A7DF85">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eastAsia="zh-CN"/>
        </w:rPr>
        <w:t>询疑</w:t>
      </w:r>
      <w:r>
        <w:rPr>
          <w:rFonts w:hint="eastAsia" w:ascii="宋体" w:hAnsi="宋体" w:eastAsia="宋体" w:cs="宋体"/>
          <w:sz w:val="22"/>
          <w:highlight w:val="none"/>
        </w:rPr>
        <w:t>期内未收到有关疑问，视为投标人完全同意采购文件所有条款，且对于采购文件相关表述以及未尽事宜如有争议，以采购人解释为准。</w:t>
      </w:r>
    </w:p>
    <w:p w14:paraId="27627A93">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14:paraId="3269B540">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5日前发布更正公告，不足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14:paraId="4DA8CC26">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14:paraId="38D61C94">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w:t>
      </w:r>
      <w:r>
        <w:rPr>
          <w:rFonts w:hint="eastAsia" w:ascii="宋体" w:hAnsi="宋体" w:eastAsia="宋体" w:cs="宋体"/>
          <w:sz w:val="22"/>
          <w:highlight w:val="none"/>
          <w:lang w:val="en-US" w:eastAsia="zh-CN"/>
        </w:rPr>
        <w:t>更正公告</w:t>
      </w:r>
      <w:r>
        <w:rPr>
          <w:rFonts w:hint="eastAsia" w:ascii="宋体" w:hAnsi="宋体" w:eastAsia="宋体" w:cs="宋体"/>
          <w:sz w:val="22"/>
          <w:highlight w:val="none"/>
        </w:rPr>
        <w:t>为准。采购文件的答复、澄清、修改或补充都应该通过采购代理机构以法定形式发布，除此以外的发布不属于采购文件的组成部分。</w:t>
      </w:r>
    </w:p>
    <w:p w14:paraId="303BD01F">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14:paraId="038C963C">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w:t>
      </w:r>
      <w:r>
        <w:rPr>
          <w:rFonts w:hint="eastAsia" w:ascii="宋体" w:hAnsi="宋体" w:eastAsia="宋体" w:cs="宋体"/>
          <w:sz w:val="22"/>
          <w:highlight w:val="none"/>
          <w:lang w:eastAsia="zh-CN"/>
        </w:rPr>
        <w:t>询疑</w:t>
      </w:r>
      <w:r>
        <w:rPr>
          <w:rFonts w:hint="eastAsia" w:ascii="宋体" w:hAnsi="宋体" w:eastAsia="宋体" w:cs="宋体"/>
          <w:sz w:val="22"/>
          <w:highlight w:val="none"/>
        </w:rPr>
        <w:t>截止时间后，经采购人及采购机构同意购买采购文件的投标人不得对采购文件及其补充文件提出澄清</w:t>
      </w:r>
      <w:r>
        <w:rPr>
          <w:rFonts w:hint="eastAsia" w:ascii="宋体" w:hAnsi="宋体" w:eastAsia="宋体" w:cs="宋体"/>
          <w:sz w:val="22"/>
          <w:highlight w:val="none"/>
          <w:lang w:eastAsia="zh-CN"/>
        </w:rPr>
        <w:t>询疑</w:t>
      </w:r>
      <w:r>
        <w:rPr>
          <w:rFonts w:hint="eastAsia" w:ascii="宋体" w:hAnsi="宋体" w:eastAsia="宋体" w:cs="宋体"/>
          <w:sz w:val="22"/>
          <w:highlight w:val="none"/>
        </w:rPr>
        <w:t>要求。</w:t>
      </w:r>
    </w:p>
    <w:p w14:paraId="5961F2DC">
      <w:pPr>
        <w:spacing w:before="156" w:beforeLines="50" w:after="156" w:afterLines="50"/>
        <w:jc w:val="center"/>
        <w:rPr>
          <w:rFonts w:hint="eastAsia" w:ascii="宋体" w:hAnsi="宋体" w:eastAsia="宋体" w:cs="宋体"/>
          <w:b/>
          <w:sz w:val="28"/>
          <w:szCs w:val="28"/>
          <w:highlight w:val="none"/>
        </w:rPr>
      </w:pPr>
      <w:bookmarkStart w:id="58" w:name="_Toc209261434"/>
      <w:bookmarkStart w:id="59" w:name="_Toc218041728"/>
      <w:bookmarkStart w:id="60" w:name="_Toc205703104"/>
      <w:bookmarkStart w:id="61" w:name="_Toc219538615"/>
      <w:bookmarkStart w:id="62" w:name="_Toc205877454"/>
      <w:bookmarkStart w:id="63" w:name="_Toc217460687"/>
      <w:bookmarkStart w:id="64" w:name="_Toc205877559"/>
      <w:bookmarkStart w:id="65" w:name="_Toc214365792"/>
      <w:bookmarkStart w:id="66" w:name="_Toc205004970"/>
      <w:bookmarkStart w:id="67" w:name="_Toc207609183"/>
      <w:bookmarkStart w:id="68" w:name="_Toc209261367"/>
      <w:bookmarkStart w:id="69" w:name="_Toc204578577"/>
      <w:bookmarkStart w:id="70" w:name="_Toc215415532"/>
      <w:bookmarkStart w:id="71" w:name="_Toc205005288"/>
      <w:bookmarkStart w:id="72" w:name="_Toc227489889"/>
      <w:bookmarkStart w:id="73" w:name="_Toc223933223"/>
      <w:bookmarkStart w:id="74" w:name="_Toc223717606"/>
      <w:bookmarkStart w:id="75" w:name="_Toc209332635"/>
      <w:bookmarkStart w:id="76" w:name="_Toc209250721"/>
      <w:bookmarkStart w:id="77" w:name="_Toc227057035"/>
      <w:bookmarkStart w:id="78" w:name="_Toc227056848"/>
      <w:bookmarkStart w:id="79" w:name="_Toc204491319"/>
      <w:bookmarkStart w:id="80" w:name="_Toc210879710"/>
      <w:bookmarkStart w:id="81" w:name="_Toc209251129"/>
      <w:bookmarkStart w:id="82" w:name="_Toc216667822"/>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808E71B">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14:paraId="0B31458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14:paraId="73E0B09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14:paraId="09F8465D">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14:paraId="77CEE317">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1A58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037F70D">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14:paraId="6DF55E3F">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14:paraId="4598294F">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60A3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7D90FDF">
            <w:pPr>
              <w:jc w:val="center"/>
              <w:rPr>
                <w:rFonts w:hint="eastAsia" w:ascii="宋体" w:hAnsi="宋体" w:eastAsia="宋体" w:cs="宋体"/>
                <w:b/>
                <w:sz w:val="18"/>
                <w:szCs w:val="18"/>
                <w:highlight w:val="none"/>
              </w:rPr>
            </w:pPr>
          </w:p>
        </w:tc>
        <w:tc>
          <w:tcPr>
            <w:tcW w:w="7122" w:type="dxa"/>
            <w:vAlign w:val="center"/>
          </w:tcPr>
          <w:p w14:paraId="1ABC77F7">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14:paraId="34286CC9">
            <w:pPr>
              <w:jc w:val="center"/>
              <w:rPr>
                <w:rFonts w:hint="eastAsia" w:ascii="宋体" w:hAnsi="宋体" w:eastAsia="宋体" w:cs="宋体"/>
                <w:b/>
                <w:sz w:val="18"/>
                <w:szCs w:val="18"/>
                <w:highlight w:val="none"/>
              </w:rPr>
            </w:pPr>
          </w:p>
        </w:tc>
      </w:tr>
      <w:tr w14:paraId="11F7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1BCE7F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69C4F658">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14:paraId="62F217B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26E0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C654F3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61D867DE">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14:paraId="51943FB1">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2BEF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575946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50E7FDE4">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14:paraId="211879F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14:paraId="24B2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F33C56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144E66ED">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14:paraId="140009FF">
            <w:pPr>
              <w:jc w:val="center"/>
              <w:rPr>
                <w:rFonts w:hint="eastAsia" w:ascii="宋体" w:hAnsi="宋体" w:eastAsia="宋体" w:cs="宋体"/>
                <w:sz w:val="18"/>
                <w:szCs w:val="18"/>
                <w:highlight w:val="none"/>
              </w:rPr>
            </w:pPr>
          </w:p>
        </w:tc>
      </w:tr>
      <w:tr w14:paraId="3AF2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1D5E4F9">
            <w:pPr>
              <w:jc w:val="center"/>
              <w:rPr>
                <w:rFonts w:hint="eastAsia" w:ascii="宋体" w:hAnsi="宋体" w:eastAsia="宋体" w:cs="宋体"/>
                <w:sz w:val="18"/>
                <w:szCs w:val="18"/>
                <w:highlight w:val="none"/>
              </w:rPr>
            </w:pPr>
          </w:p>
        </w:tc>
        <w:tc>
          <w:tcPr>
            <w:tcW w:w="7122" w:type="dxa"/>
            <w:vAlign w:val="center"/>
          </w:tcPr>
          <w:p w14:paraId="21F43443">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14:paraId="07915D1A">
            <w:pPr>
              <w:jc w:val="center"/>
              <w:rPr>
                <w:rFonts w:hint="eastAsia" w:ascii="宋体" w:hAnsi="宋体" w:eastAsia="宋体" w:cs="宋体"/>
                <w:sz w:val="18"/>
                <w:szCs w:val="18"/>
                <w:highlight w:val="none"/>
              </w:rPr>
            </w:pPr>
          </w:p>
        </w:tc>
      </w:tr>
      <w:tr w14:paraId="6628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F7C48F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5D222B55">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14:paraId="7E12D636">
            <w:pPr>
              <w:jc w:val="center"/>
              <w:rPr>
                <w:rFonts w:hint="eastAsia" w:ascii="宋体" w:hAnsi="宋体" w:eastAsia="宋体" w:cs="宋体"/>
                <w:sz w:val="18"/>
                <w:szCs w:val="18"/>
                <w:highlight w:val="none"/>
              </w:rPr>
            </w:pPr>
          </w:p>
        </w:tc>
      </w:tr>
      <w:tr w14:paraId="5D1A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E0E794E">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33552A84">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14:paraId="5B9A12D8">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14:paraId="2DC2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BF2298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14:paraId="67B0DE47">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参加国企采购活动前三年内，在经营活动中没有重大违法记录。请在投标声明书中如实填写（新成立不满三年的组织机构自成立之日起算）</w:t>
            </w:r>
          </w:p>
        </w:tc>
        <w:tc>
          <w:tcPr>
            <w:tcW w:w="1105" w:type="dxa"/>
            <w:vAlign w:val="center"/>
          </w:tcPr>
          <w:p w14:paraId="19FA5462">
            <w:pPr>
              <w:jc w:val="center"/>
              <w:rPr>
                <w:rFonts w:hint="eastAsia" w:ascii="宋体" w:hAnsi="宋体" w:eastAsia="宋体" w:cs="宋体"/>
                <w:sz w:val="18"/>
                <w:szCs w:val="18"/>
                <w:highlight w:val="none"/>
              </w:rPr>
            </w:pPr>
          </w:p>
        </w:tc>
      </w:tr>
      <w:tr w14:paraId="389F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49F13C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14:paraId="400ADF69">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3308AF80">
            <w:pPr>
              <w:jc w:val="center"/>
              <w:rPr>
                <w:rFonts w:hint="eastAsia" w:ascii="宋体" w:hAnsi="宋体" w:eastAsia="宋体" w:cs="宋体"/>
                <w:sz w:val="18"/>
                <w:szCs w:val="18"/>
                <w:highlight w:val="none"/>
              </w:rPr>
            </w:pPr>
          </w:p>
        </w:tc>
      </w:tr>
      <w:tr w14:paraId="6594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F44D047">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14:paraId="7B036E87">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14:paraId="172E0504">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14:paraId="6606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923F621">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14:paraId="5F1C9E46">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14:paraId="3027090D">
            <w:pPr>
              <w:jc w:val="center"/>
              <w:rPr>
                <w:rFonts w:hint="eastAsia" w:ascii="宋体" w:hAnsi="宋体" w:eastAsia="宋体" w:cs="宋体"/>
                <w:sz w:val="18"/>
                <w:szCs w:val="18"/>
                <w:highlight w:val="none"/>
              </w:rPr>
            </w:pPr>
          </w:p>
        </w:tc>
      </w:tr>
      <w:tr w14:paraId="25EB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EC25D3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14:paraId="40753D9F">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14:paraId="0D5EDAE2">
            <w:pPr>
              <w:jc w:val="center"/>
              <w:rPr>
                <w:rFonts w:hint="eastAsia" w:ascii="宋体" w:hAnsi="宋体" w:eastAsia="宋体" w:cs="宋体"/>
                <w:sz w:val="18"/>
                <w:szCs w:val="18"/>
                <w:highlight w:val="none"/>
              </w:rPr>
            </w:pPr>
          </w:p>
        </w:tc>
      </w:tr>
      <w:tr w14:paraId="693F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D16C9E5">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14:paraId="1D69D2A9">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14:paraId="5B24AB2C">
            <w:pPr>
              <w:jc w:val="center"/>
              <w:rPr>
                <w:rFonts w:hint="eastAsia" w:ascii="宋体" w:hAnsi="宋体" w:eastAsia="宋体" w:cs="宋体"/>
                <w:sz w:val="18"/>
                <w:szCs w:val="18"/>
                <w:highlight w:val="none"/>
              </w:rPr>
            </w:pPr>
          </w:p>
        </w:tc>
      </w:tr>
      <w:tr w14:paraId="747E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1168A42">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14:paraId="740D06A5">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14:paraId="09AE2241">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14:paraId="1CE5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08389AC">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14:paraId="0598018F">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14:paraId="5C65E777">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14:paraId="675E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C7E98E0">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14:paraId="443C4711">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14:paraId="66FFEE6D">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14:paraId="6AAB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DF7E4B8">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14:paraId="0DE5F8CF">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w:t>
            </w: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lang w:eastAsia="zh-CN"/>
              </w:rPr>
              <w:t>年1月1日以来</w:t>
            </w:r>
            <w:r>
              <w:rPr>
                <w:rFonts w:hint="eastAsia" w:ascii="宋体" w:hAnsi="宋体" w:eastAsia="宋体" w:cs="宋体"/>
                <w:sz w:val="18"/>
                <w:szCs w:val="18"/>
                <w:highlight w:val="none"/>
              </w:rPr>
              <w:t>同类项目业绩一览表</w:t>
            </w:r>
          </w:p>
        </w:tc>
        <w:tc>
          <w:tcPr>
            <w:tcW w:w="1105" w:type="dxa"/>
            <w:vAlign w:val="center"/>
          </w:tcPr>
          <w:p w14:paraId="7310FC7D">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14:paraId="3CA2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8606174">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shd w:val="clear" w:color="auto" w:fill="auto"/>
            <w:vAlign w:val="center"/>
          </w:tcPr>
          <w:p w14:paraId="4610E4A1">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rPr>
              <w:t>根据采购文件中的采购内容及要求以及技术资信评分项目逐项编制</w:t>
            </w:r>
            <w:r>
              <w:rPr>
                <w:rFonts w:hint="eastAsia" w:ascii="宋体" w:hAnsi="宋体" w:eastAsia="宋体" w:cs="宋体"/>
                <w:sz w:val="18"/>
                <w:szCs w:val="18"/>
                <w:highlight w:val="none"/>
                <w:lang w:eastAsia="zh-CN"/>
              </w:rPr>
              <w:t>）</w:t>
            </w:r>
          </w:p>
        </w:tc>
        <w:tc>
          <w:tcPr>
            <w:tcW w:w="1105" w:type="dxa"/>
            <w:shd w:val="clear" w:color="auto" w:fill="auto"/>
            <w:vAlign w:val="center"/>
          </w:tcPr>
          <w:p w14:paraId="6B5E70C1">
            <w:pPr>
              <w:jc w:val="center"/>
              <w:rPr>
                <w:rFonts w:hint="eastAsia" w:ascii="宋体" w:hAnsi="宋体" w:eastAsia="宋体" w:cs="宋体"/>
                <w:kern w:val="2"/>
                <w:sz w:val="18"/>
                <w:szCs w:val="18"/>
                <w:highlight w:val="none"/>
                <w:lang w:val="en-US" w:eastAsia="zh-CN" w:bidi="ar-SA"/>
              </w:rPr>
            </w:pPr>
          </w:p>
        </w:tc>
      </w:tr>
    </w:tbl>
    <w:p w14:paraId="7E3286DD">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14:paraId="2B5D23BE">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1）投标供应商可根据采购文件中的技术规格书以及技术资信评分表，提供投标供应商认为需要提供的文件和资料。</w:t>
      </w:r>
    </w:p>
    <w:p w14:paraId="0511F576">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2）投标文件中应承诺：投标供应商所提供的服务及货物在合同执行过程中如若发生侵权事件，其侵权责任与</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人及</w:t>
      </w:r>
      <w:r>
        <w:rPr>
          <w:rFonts w:hint="eastAsia" w:ascii="宋体" w:hAnsi="宋体" w:eastAsia="宋体" w:cs="宋体"/>
          <w:sz w:val="22"/>
          <w:highlight w:val="none"/>
          <w:lang w:eastAsia="zh-CN"/>
        </w:rPr>
        <w:t>采购</w:t>
      </w:r>
      <w:r>
        <w:rPr>
          <w:rFonts w:hint="eastAsia" w:ascii="宋体" w:hAnsi="宋体" w:eastAsia="宋体" w:cs="宋体"/>
          <w:sz w:val="22"/>
          <w:highlight w:val="none"/>
        </w:rPr>
        <w:t>代理机构无关，由投标供应商承担全部责任。侵权造成的所有相关费用，均由投标供应商支付，保证不伤害</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人的利益。</w:t>
      </w:r>
    </w:p>
    <w:p w14:paraId="48859EE5">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w:t>
      </w:r>
      <w:r>
        <w:rPr>
          <w:rFonts w:hint="eastAsia" w:ascii="宋体" w:hAnsi="宋体" w:eastAsia="宋体" w:cs="宋体"/>
          <w:b/>
          <w:bCs/>
          <w:sz w:val="22"/>
          <w:highlight w:val="none"/>
          <w:u w:val="single"/>
        </w:rPr>
        <w:t>以上所需的各种证书、证件、证明、执照若系复印件，须在复印件上加盖投标供应商有效的公章</w:t>
      </w:r>
      <w:r>
        <w:rPr>
          <w:rFonts w:hint="eastAsia" w:ascii="宋体" w:hAnsi="宋体" w:eastAsia="宋体" w:cs="宋体"/>
          <w:sz w:val="22"/>
          <w:highlight w:val="none"/>
        </w:rPr>
        <w:t>。</w:t>
      </w:r>
    </w:p>
    <w:p w14:paraId="734B7FC6">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4）投标供应商可在采购文件中对采购服务的技术规格和要求选用替代标准，但这些替代标准必须相当于或优于采购文件中提出的相应要求，并使采购人满意。同时在技术偏离表中作出详细说明。</w:t>
      </w:r>
    </w:p>
    <w:p w14:paraId="59269E6D">
      <w:pPr>
        <w:tabs>
          <w:tab w:val="left" w:pos="5355"/>
        </w:tabs>
        <w:rPr>
          <w:rFonts w:hint="eastAsia" w:ascii="宋体" w:hAnsi="宋体" w:eastAsia="宋体" w:cs="宋体"/>
          <w:b/>
          <w:sz w:val="22"/>
          <w:highlight w:val="none"/>
        </w:rPr>
      </w:pPr>
    </w:p>
    <w:p w14:paraId="59C3EB8E">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14:paraId="0908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7DBCCD8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14:paraId="3709854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14:paraId="17F64F0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14:paraId="5E3F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279CCBC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14:paraId="3B9A77BB">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14:paraId="617D7E1D">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p>
        </w:tc>
      </w:tr>
      <w:tr w14:paraId="49AB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48BAF14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14:paraId="1D8F07F4">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14:paraId="0EA641BE">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一</w:t>
            </w:r>
          </w:p>
        </w:tc>
      </w:tr>
    </w:tbl>
    <w:p w14:paraId="705F5EEF">
      <w:pPr>
        <w:rPr>
          <w:rFonts w:hint="eastAsia" w:ascii="宋体" w:hAnsi="宋体" w:eastAsia="宋体" w:cs="宋体"/>
          <w:b/>
          <w:sz w:val="22"/>
          <w:highlight w:val="none"/>
        </w:rPr>
      </w:pPr>
    </w:p>
    <w:p w14:paraId="315F922D">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14:paraId="79C73CEE">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sz w:val="22"/>
          <w:highlight w:val="none"/>
        </w:rPr>
        <w:t>。</w:t>
      </w:r>
    </w:p>
    <w:p w14:paraId="45B19A44">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14:paraId="5CFB2322">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14:paraId="679F1780">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14:paraId="5B9C349E">
      <w:pPr>
        <w:ind w:left="526" w:hanging="526" w:hangingChars="238"/>
        <w:rPr>
          <w:rFonts w:hint="eastAsia" w:ascii="宋体" w:hAnsi="宋体" w:eastAsia="宋体" w:cs="宋体"/>
          <w:b/>
          <w:bCs/>
          <w:sz w:val="22"/>
          <w:szCs w:val="22"/>
          <w:highlight w:val="none"/>
        </w:rPr>
      </w:pPr>
      <w:r>
        <w:rPr>
          <w:rFonts w:hint="eastAsia" w:ascii="宋体" w:hAnsi="宋体" w:eastAsia="宋体" w:cs="宋体"/>
          <w:b/>
          <w:bCs/>
          <w:sz w:val="22"/>
          <w:highlight w:val="none"/>
        </w:rPr>
        <w:t>12.1</w:t>
      </w:r>
      <w:r>
        <w:rPr>
          <w:rFonts w:hint="eastAsia" w:ascii="宋体" w:hAnsi="宋体" w:eastAsia="宋体" w:cs="宋体"/>
          <w:b/>
          <w:bCs/>
          <w:sz w:val="22"/>
          <w:szCs w:val="22"/>
          <w:highlight w:val="none"/>
        </w:rPr>
        <w:t xml:space="preserve"> </w:t>
      </w:r>
      <w:r>
        <w:rPr>
          <w:rFonts w:hint="eastAsia" w:ascii="宋体" w:hAnsi="宋体" w:eastAsia="宋体" w:cs="宋体"/>
          <w:b/>
          <w:sz w:val="22"/>
          <w:szCs w:val="22"/>
          <w:highlight w:val="none"/>
          <w:u w:val="single"/>
        </w:rPr>
        <w:t>▲本项目投标报价为期限壹年的承包费用报价。投标报价是指</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在正确地完全履行合同义务后</w:t>
      </w:r>
      <w:r>
        <w:rPr>
          <w:rFonts w:hint="eastAsia" w:ascii="宋体" w:hAnsi="宋体" w:eastAsia="宋体" w:cs="宋体"/>
          <w:b/>
          <w:sz w:val="22"/>
          <w:szCs w:val="22"/>
          <w:highlight w:val="none"/>
          <w:u w:val="single"/>
          <w:lang w:val="en-US" w:eastAsia="zh-CN"/>
        </w:rPr>
        <w:t>采购人</w:t>
      </w:r>
      <w:r>
        <w:rPr>
          <w:rFonts w:hint="eastAsia" w:ascii="宋体" w:hAnsi="宋体" w:eastAsia="宋体" w:cs="宋体"/>
          <w:b/>
          <w:sz w:val="22"/>
          <w:szCs w:val="22"/>
          <w:highlight w:val="none"/>
          <w:u w:val="single"/>
        </w:rPr>
        <w:t>应支付给</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所有的价款，包括但不限于所有服务所需的人工费（包括工人工资、奖金、房补、劳保福利、社保、工伤费、教育培训费、暂住费及处理一切伤亡事故等费用）</w:t>
      </w:r>
      <w:r>
        <w:rPr>
          <w:rFonts w:hint="eastAsia" w:ascii="宋体" w:hAnsi="宋体" w:eastAsia="宋体" w:cs="宋体"/>
          <w:b/>
          <w:strike w:val="0"/>
          <w:dstrike w:val="0"/>
          <w:sz w:val="22"/>
          <w:szCs w:val="22"/>
          <w:highlight w:val="none"/>
          <w:u w:val="single"/>
        </w:rPr>
        <w:t>、</w:t>
      </w:r>
      <w:r>
        <w:rPr>
          <w:rFonts w:hint="eastAsia" w:ascii="宋体" w:hAnsi="宋体" w:eastAsia="宋体" w:cs="宋体"/>
          <w:b/>
          <w:strike w:val="0"/>
          <w:dstrike w:val="0"/>
          <w:sz w:val="22"/>
          <w:szCs w:val="22"/>
          <w:highlight w:val="none"/>
          <w:u w:val="single"/>
          <w:lang w:eastAsia="zh-CN"/>
        </w:rPr>
        <w:t>消防远程监控费用</w:t>
      </w:r>
      <w:r>
        <w:rPr>
          <w:rFonts w:hint="eastAsia" w:ascii="宋体" w:hAnsi="宋体" w:eastAsia="宋体" w:cs="宋体"/>
          <w:b/>
          <w:sz w:val="22"/>
          <w:szCs w:val="22"/>
          <w:highlight w:val="none"/>
          <w:u w:val="single"/>
        </w:rPr>
        <w:t>及物业服务人员的装备费【包括人员各季节工作服和相关装备费用（含通讯设备及通讯费）】、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w:t>
      </w:r>
      <w:r>
        <w:rPr>
          <w:rFonts w:hint="eastAsia" w:ascii="宋体" w:hAnsi="宋体" w:eastAsia="宋体" w:cs="宋体"/>
          <w:b/>
          <w:sz w:val="22"/>
          <w:szCs w:val="22"/>
          <w:highlight w:val="none"/>
          <w:u w:val="single"/>
          <w:lang w:val="en-US" w:eastAsia="zh-CN"/>
        </w:rPr>
        <w:t>报</w:t>
      </w:r>
      <w:r>
        <w:rPr>
          <w:rFonts w:hint="eastAsia" w:ascii="宋体" w:hAnsi="宋体" w:eastAsia="宋体" w:cs="宋体"/>
          <w:b/>
          <w:sz w:val="22"/>
          <w:szCs w:val="22"/>
          <w:highlight w:val="none"/>
          <w:u w:val="single"/>
        </w:rPr>
        <w:t>价</w:t>
      </w:r>
      <w:r>
        <w:rPr>
          <w:rFonts w:hint="eastAsia" w:ascii="宋体" w:hAnsi="宋体" w:eastAsia="宋体" w:cs="宋体"/>
          <w:b/>
          <w:bCs/>
          <w:sz w:val="22"/>
          <w:szCs w:val="22"/>
          <w:highlight w:val="none"/>
        </w:rPr>
        <w:t>。</w:t>
      </w:r>
    </w:p>
    <w:p w14:paraId="1B618AB5">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sz w:val="22"/>
          <w:highlight w:val="none"/>
        </w:rPr>
        <w:t>12.2 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14:paraId="7D4BD3D4">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12.3 投标人必须按附件中的开标一览表、投标分项报价表（均统一格式）内容填写单价、合价和总价，并由</w:t>
      </w:r>
      <w:r>
        <w:rPr>
          <w:rFonts w:hint="eastAsia" w:ascii="宋体" w:hAnsi="宋体" w:eastAsia="宋体" w:cs="宋体"/>
          <w:b/>
          <w:bCs/>
          <w:sz w:val="22"/>
          <w:highlight w:val="none"/>
          <w:lang w:eastAsia="zh-CN"/>
        </w:rPr>
        <w:t>法定代表人</w:t>
      </w:r>
      <w:r>
        <w:rPr>
          <w:rFonts w:hint="eastAsia" w:ascii="宋体" w:hAnsi="宋体" w:eastAsia="宋体" w:cs="宋体"/>
          <w:b/>
          <w:bCs/>
          <w:sz w:val="22"/>
          <w:highlight w:val="none"/>
        </w:rPr>
        <w:t>或投标人代表签署。</w:t>
      </w:r>
    </w:p>
    <w:p w14:paraId="1DFAEEF7">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所有报价均以人民币报价，投标人如需外汇购入某些货物，须折合成人民币计入投标报价中。</w:t>
      </w:r>
    </w:p>
    <w:p w14:paraId="423B79E2">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eastAsia="宋体" w:cs="宋体"/>
          <w:b/>
          <w:bCs/>
          <w:sz w:val="22"/>
          <w:highlight w:val="none"/>
        </w:rPr>
        <w:t>采购人不接受任何选择报价，对每一种货物/服务只允许一个报价。</w:t>
      </w:r>
    </w:p>
    <w:p w14:paraId="38A4C301">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12.6采购单位要求分类报价是为了方便评标，但在任何情况下不限制采购人以其认为最合适的条款、条件签订合同的权利。</w:t>
      </w:r>
    </w:p>
    <w:p w14:paraId="11BDA443">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bCs/>
          <w:sz w:val="22"/>
          <w:highlight w:val="none"/>
          <w:u w:val="single"/>
        </w:rPr>
        <w:t>12.7▲</w:t>
      </w:r>
      <w:r>
        <w:rPr>
          <w:rFonts w:hint="eastAsia" w:ascii="宋体" w:hAnsi="宋体" w:eastAsia="宋体" w:cs="宋体"/>
          <w:b/>
          <w:sz w:val="22"/>
          <w:highlight w:val="none"/>
          <w:u w:val="single"/>
        </w:rPr>
        <w:t>投标报价报出后，投标人不得以任何理由予以变更。任何包含价格调整的要求，将被认为是非实质性响应投标而予以拒绝。</w:t>
      </w:r>
    </w:p>
    <w:p w14:paraId="18C3C8B7">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12.8</w:t>
      </w:r>
      <w:r>
        <w:rPr>
          <w:rFonts w:hint="eastAsia" w:ascii="宋体" w:hAnsi="宋体" w:eastAsia="宋体" w:cs="宋体"/>
          <w:b/>
          <w:bCs/>
          <w:sz w:val="22"/>
          <w:highlight w:val="none"/>
        </w:rPr>
        <w:t>最低报价不作为中标的保证。</w:t>
      </w:r>
    </w:p>
    <w:p w14:paraId="750F87D5">
      <w:pPr>
        <w:numPr>
          <w:ilvl w:val="0"/>
          <w:numId w:val="3"/>
        </w:numPr>
        <w:tabs>
          <w:tab w:val="left" w:pos="525"/>
          <w:tab w:val="left" w:pos="900"/>
        </w:tabs>
        <w:ind w:left="525" w:hanging="525"/>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▲投标保证金</w:t>
      </w:r>
    </w:p>
    <w:p w14:paraId="0C630E21">
      <w:pPr>
        <w:tabs>
          <w:tab w:val="left" w:pos="851"/>
          <w:tab w:val="left" w:pos="1080"/>
        </w:tabs>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b/>
          <w:bCs/>
          <w:color w:val="auto"/>
          <w:sz w:val="22"/>
          <w:szCs w:val="22"/>
          <w:highlight w:val="none"/>
          <w:u w:val="single"/>
          <w:lang w:eastAsia="zh-CN"/>
        </w:rPr>
        <w:t>投标供应商</w:t>
      </w:r>
      <w:r>
        <w:rPr>
          <w:rFonts w:hint="eastAsia" w:ascii="宋体" w:hAnsi="宋体" w:eastAsia="宋体" w:cs="宋体"/>
          <w:b/>
          <w:bCs/>
          <w:color w:val="auto"/>
          <w:sz w:val="22"/>
          <w:szCs w:val="22"/>
          <w:highlight w:val="none"/>
          <w:u w:val="single"/>
        </w:rPr>
        <w:t>须按</w:t>
      </w:r>
      <w:r>
        <w:rPr>
          <w:rFonts w:hint="eastAsia" w:ascii="宋体" w:hAnsi="宋体" w:eastAsia="宋体" w:cs="宋体"/>
          <w:b/>
          <w:bCs/>
          <w:color w:val="auto"/>
          <w:sz w:val="22"/>
          <w:szCs w:val="22"/>
          <w:highlight w:val="none"/>
          <w:u w:val="single"/>
          <w:lang w:eastAsia="zh-CN"/>
        </w:rPr>
        <w:t>投标供应商</w:t>
      </w:r>
      <w:r>
        <w:rPr>
          <w:rFonts w:hint="eastAsia" w:ascii="宋体" w:hAnsi="宋体" w:eastAsia="宋体" w:cs="宋体"/>
          <w:b/>
          <w:bCs/>
          <w:color w:val="auto"/>
          <w:sz w:val="22"/>
          <w:szCs w:val="22"/>
          <w:highlight w:val="none"/>
          <w:u w:val="single"/>
        </w:rPr>
        <w:t>须知前附表规定交纳投标保证金，否则</w:t>
      </w:r>
      <w:r>
        <w:rPr>
          <w:rFonts w:hint="eastAsia" w:ascii="宋体" w:hAnsi="宋体" w:eastAsia="宋体" w:cs="宋体"/>
          <w:b/>
          <w:bCs/>
          <w:color w:val="auto"/>
          <w:sz w:val="22"/>
          <w:szCs w:val="22"/>
          <w:highlight w:val="none"/>
          <w:u w:val="single"/>
          <w:lang w:val="en-US" w:eastAsia="zh-CN"/>
        </w:rPr>
        <w:t>将作无效标处理</w:t>
      </w:r>
      <w:r>
        <w:rPr>
          <w:rFonts w:hint="eastAsia" w:ascii="宋体" w:hAnsi="宋体" w:eastAsia="宋体" w:cs="宋体"/>
          <w:color w:val="auto"/>
          <w:sz w:val="22"/>
          <w:szCs w:val="22"/>
          <w:highlight w:val="none"/>
        </w:rPr>
        <w:t>。</w:t>
      </w:r>
    </w:p>
    <w:p w14:paraId="21E95BC5">
      <w:pPr>
        <w:tabs>
          <w:tab w:val="left" w:pos="851"/>
          <w:tab w:val="left" w:pos="1080"/>
        </w:tabs>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r>
        <w:rPr>
          <w:rFonts w:hint="eastAsia" w:ascii="宋体" w:hAnsi="宋体" w:eastAsia="宋体" w:cs="宋体"/>
          <w:b/>
          <w:bCs/>
          <w:color w:val="auto"/>
          <w:sz w:val="22"/>
          <w:szCs w:val="22"/>
          <w:highlight w:val="none"/>
          <w:u w:val="single"/>
        </w:rPr>
        <w:t>投标保证金金额及形式详见采购公告及投标须知前附表规定。</w:t>
      </w:r>
    </w:p>
    <w:p w14:paraId="0EE2E540">
      <w:pPr>
        <w:tabs>
          <w:tab w:val="left" w:pos="851"/>
          <w:tab w:val="left" w:pos="1080"/>
        </w:tabs>
        <w:ind w:left="524" w:hanging="523" w:hangingChars="238"/>
        <w:rPr>
          <w:rFonts w:hint="eastAsia" w:ascii="宋体" w:hAnsi="宋体" w:eastAsia="宋体" w:cs="宋体"/>
        </w:rPr>
      </w:pPr>
      <w:r>
        <w:rPr>
          <w:rFonts w:hint="eastAsia" w:ascii="宋体" w:hAnsi="宋体" w:eastAsia="宋体" w:cs="宋体"/>
          <w:color w:val="auto"/>
          <w:sz w:val="22"/>
          <w:szCs w:val="22"/>
          <w:highlight w:val="none"/>
        </w:rPr>
        <w:t xml:space="preserve">13.3 </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的投标保证金在中标人提交履约保证金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与</w:t>
      </w:r>
      <w:r>
        <w:rPr>
          <w:rFonts w:hint="eastAsia" w:ascii="宋体" w:hAnsi="宋体" w:eastAsia="宋体" w:cs="宋体"/>
          <w:color w:val="auto"/>
          <w:sz w:val="22"/>
          <w:szCs w:val="22"/>
          <w:highlight w:val="none"/>
        </w:rPr>
        <w:t>采购人签订了合同且合同经备案后无息退还，未</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的投标保证金将在确定中标人后无息退还。</w:t>
      </w:r>
    </w:p>
    <w:p w14:paraId="629AD3CF">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13.4 </w:t>
      </w:r>
      <w:r>
        <w:rPr>
          <w:rFonts w:hint="eastAsia" w:ascii="宋体" w:hAnsi="宋体" w:eastAsia="宋体" w:cs="宋体"/>
          <w:b/>
          <w:sz w:val="22"/>
          <w:highlight w:val="none"/>
          <w:u w:val="single"/>
        </w:rPr>
        <w:t>如发生下列情况之一，投标保证金将不予退还：</w:t>
      </w:r>
    </w:p>
    <w:p w14:paraId="61D3721D">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投标人在采购文件规定的投标有效期内撤回投标；</w:t>
      </w:r>
    </w:p>
    <w:p w14:paraId="4685EA7B">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中标人未按中标通知书中规定的时间与采购人签订合同；</w:t>
      </w:r>
    </w:p>
    <w:p w14:paraId="1B5332EB">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中标人在规定期限内未能根据采购文件要求提供履约担保；</w:t>
      </w:r>
    </w:p>
    <w:p w14:paraId="6CD23933">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投标人在投标文件中提供虚假技术指标及参数，经评标委员会确认属实的；</w:t>
      </w:r>
    </w:p>
    <w:p w14:paraId="52B24E2C">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经国企采购监督管理部门审查认定投标供应商有违反</w:t>
      </w:r>
      <w:r>
        <w:rPr>
          <w:rFonts w:hint="eastAsia" w:ascii="宋体" w:hAnsi="宋体" w:eastAsia="宋体" w:cs="宋体"/>
          <w:sz w:val="22"/>
          <w:highlight w:val="none"/>
          <w:lang w:eastAsia="zh-CN"/>
        </w:rPr>
        <w:t>《温州市市属国有企业采购管理办法》（温国资委〔2024〕第51号）</w:t>
      </w:r>
      <w:r>
        <w:rPr>
          <w:rFonts w:hint="eastAsia" w:ascii="宋体" w:hAnsi="宋体" w:eastAsia="宋体" w:cs="宋体"/>
          <w:sz w:val="22"/>
          <w:highlight w:val="none"/>
        </w:rPr>
        <w:t>等有关法律法规的行为。</w:t>
      </w:r>
    </w:p>
    <w:p w14:paraId="6D317A4E">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14:paraId="0794715F">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14:paraId="06E405B2">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14:paraId="0B2D5273">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108AC930">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14:paraId="7419FD3B">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五</w:t>
      </w:r>
      <w:r>
        <w:rPr>
          <w:rFonts w:hint="eastAsia" w:ascii="宋体" w:hAnsi="宋体" w:eastAsia="宋体" w:cs="宋体"/>
          <w:b/>
          <w:sz w:val="22"/>
          <w:highlight w:val="none"/>
        </w:rPr>
        <w:t>份的投标文件，分别装订成册。其中正本一份、副本</w:t>
      </w:r>
      <w:r>
        <w:rPr>
          <w:rFonts w:hint="eastAsia" w:ascii="宋体" w:hAnsi="宋体" w:eastAsia="宋体" w:cs="宋体"/>
          <w:b/>
          <w:sz w:val="22"/>
          <w:highlight w:val="none"/>
          <w:lang w:val="en-US" w:eastAsia="zh-CN"/>
        </w:rPr>
        <w:t>四</w:t>
      </w:r>
      <w:r>
        <w:rPr>
          <w:rFonts w:hint="eastAsia" w:ascii="宋体" w:hAnsi="宋体" w:eastAsia="宋体" w:cs="宋体"/>
          <w:b/>
          <w:sz w:val="22"/>
          <w:highlight w:val="none"/>
        </w:rPr>
        <w:t>份，每套投标文件的封面应清楚标明“正本”或“副本”字样，若“正本”与“副本”不符，以“正本”为准。</w:t>
      </w:r>
    </w:p>
    <w:p w14:paraId="6A0E014C">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或其授权代表签署，副本可用正本的复印件。</w:t>
      </w:r>
    </w:p>
    <w:p w14:paraId="6E6CB8EB">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14:paraId="368CDE46">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14:paraId="08F708D3">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14:paraId="39244196">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或其授权代表签字。</w:t>
      </w:r>
      <w:r>
        <w:rPr>
          <w:rFonts w:hint="eastAsia" w:ascii="宋体" w:hAnsi="宋体" w:eastAsia="宋体" w:cs="宋体"/>
          <w:b/>
          <w:sz w:val="22"/>
          <w:highlight w:val="none"/>
        </w:rPr>
        <w:t>封皮上写明投标项目名称、采购编号，并注明“开标时启封”字样。</w:t>
      </w:r>
    </w:p>
    <w:p w14:paraId="5F06E29C">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14:paraId="569FAF23">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b/>
          <w:bCs/>
          <w:sz w:val="22"/>
          <w:highlight w:val="none"/>
        </w:rPr>
        <w:t>为了落实节约能源，保护环境</w:t>
      </w:r>
      <w:bookmarkStart w:id="83" w:name="_Hlk20129971"/>
      <w:r>
        <w:rPr>
          <w:rFonts w:hint="eastAsia" w:ascii="宋体" w:hAnsi="宋体" w:eastAsia="宋体" w:cs="宋体"/>
          <w:b/>
          <w:bCs/>
          <w:sz w:val="22"/>
          <w:highlight w:val="none"/>
        </w:rPr>
        <w:t>的政策</w:t>
      </w:r>
      <w:bookmarkEnd w:id="83"/>
      <w:r>
        <w:rPr>
          <w:rFonts w:hint="eastAsia" w:ascii="宋体" w:hAnsi="宋体" w:eastAsia="宋体" w:cs="宋体"/>
          <w:b/>
          <w:bCs/>
          <w:sz w:val="22"/>
          <w:highlight w:val="none"/>
        </w:rPr>
        <w:t>，建议投标文件双面打印，并根据采购文件的要求进行制作，内容简洁明了，编排合理有序，与采购文件内容无关或不符合采购文件要求的资料不要编入投标文件。</w:t>
      </w:r>
    </w:p>
    <w:p w14:paraId="134CE6FD">
      <w:pPr>
        <w:spacing w:before="156" w:beforeLines="50" w:after="156" w:afterLines="50"/>
        <w:jc w:val="center"/>
        <w:rPr>
          <w:rFonts w:hint="eastAsia" w:ascii="宋体" w:hAnsi="宋体" w:eastAsia="宋体" w:cs="宋体"/>
          <w:b/>
          <w:sz w:val="28"/>
          <w:szCs w:val="28"/>
          <w:highlight w:val="none"/>
        </w:rPr>
      </w:pPr>
      <w:bookmarkStart w:id="84" w:name="_Toc205004971"/>
      <w:bookmarkStart w:id="85" w:name="_Toc214365793"/>
      <w:bookmarkStart w:id="86" w:name="_Toc215415533"/>
      <w:bookmarkStart w:id="87" w:name="_Toc205005289"/>
      <w:bookmarkStart w:id="88" w:name="_Toc219538616"/>
      <w:bookmarkStart w:id="89" w:name="_Toc209332636"/>
      <w:bookmarkStart w:id="90" w:name="_Toc207609184"/>
      <w:bookmarkStart w:id="91" w:name="_Toc227489890"/>
      <w:bookmarkStart w:id="92" w:name="_Toc205877560"/>
      <w:bookmarkStart w:id="93" w:name="_Toc204491320"/>
      <w:bookmarkStart w:id="94" w:name="_Toc209251130"/>
      <w:bookmarkStart w:id="95" w:name="_Toc223717607"/>
      <w:bookmarkStart w:id="96" w:name="_Toc216667823"/>
      <w:bookmarkStart w:id="97" w:name="_Toc209261435"/>
      <w:bookmarkStart w:id="98" w:name="_Toc205703105"/>
      <w:bookmarkStart w:id="99" w:name="_Toc227056849"/>
      <w:bookmarkStart w:id="100" w:name="_Toc205877455"/>
      <w:bookmarkStart w:id="101" w:name="_Toc210879711"/>
      <w:bookmarkStart w:id="102" w:name="_Toc209250722"/>
      <w:bookmarkStart w:id="103" w:name="_Toc227057036"/>
      <w:bookmarkStart w:id="104" w:name="_Toc204578578"/>
      <w:bookmarkStart w:id="105" w:name="_Toc218041729"/>
      <w:bookmarkStart w:id="106" w:name="_Toc223933224"/>
      <w:bookmarkStart w:id="107" w:name="_Toc209261368"/>
      <w:bookmarkStart w:id="108" w:name="_Toc217460688"/>
      <w:r>
        <w:rPr>
          <w:rFonts w:hint="eastAsia" w:ascii="宋体" w:hAnsi="宋体" w:eastAsia="宋体" w:cs="宋体"/>
          <w:b/>
          <w:sz w:val="28"/>
          <w:szCs w:val="28"/>
          <w:highlight w:val="none"/>
        </w:rPr>
        <w:t>四、 投标文件的递交</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D635056">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14:paraId="6EEC3326">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14:paraId="6D037A78">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14:paraId="63EEC97B">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w:t>
      </w:r>
    </w:p>
    <w:p w14:paraId="21E3E08C">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如企业/事业单位</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委派投标人代表的，需提交</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授权书（原件）。</w:t>
      </w:r>
    </w:p>
    <w:p w14:paraId="74056312">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14:paraId="288057F5">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在投标文件递交截止时间前，投标人可以用书面形式提出修改或撤回其投标并送达到采购人，但不得影响开标活动的正常进行。</w:t>
      </w:r>
    </w:p>
    <w:p w14:paraId="307D804A">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补充、修改的内容作为投标文件的组成部分。补充、修改的内容与投标文件不一致的，以补充、修改的内容为准。投标供应商在提交投标文件截止时间前提交的补充、修改或者撤回申请要求，应当以原件书面形式并由投标供应商代表签署，或者加盖投标供应商单位公章方可生效，否则采购人、采购代理机构将视为无效补充、修改或者撤回。采购人、采购代理机构不接受投标供应商口头、电话、传真或电子邮件形式提交的补充、修改或者撤回。</w:t>
      </w:r>
    </w:p>
    <w:p w14:paraId="2D880294">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“投标文件修改”或“投标文件撤回通知”都应密封并在密封袋上写明投标项目名称、编号、投标单位名称，并注明“投标文件修改”或“投标文件撤回通知”字样。</w:t>
      </w:r>
    </w:p>
    <w:p w14:paraId="4B34E5B0">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从投标文件递交截止时间起至投标有效期满这段时间内，投标人不得撤回其投标，否则投标保证金将被不予退还。</w:t>
      </w:r>
    </w:p>
    <w:p w14:paraId="5F554A62">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14:paraId="4FD3C7FE">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14:paraId="5AA0A7E8">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14:paraId="0E536104">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未密封或未装订的投标文件及由于包装不妥在送达</w:t>
      </w:r>
      <w:r>
        <w:rPr>
          <w:rFonts w:hint="eastAsia" w:ascii="宋体" w:hAnsi="宋体" w:eastAsia="宋体" w:cs="宋体"/>
          <w:bCs/>
          <w:sz w:val="22"/>
          <w:highlight w:val="none"/>
          <w:u w:val="single"/>
          <w:lang w:val="en-US" w:eastAsia="zh-CN"/>
        </w:rPr>
        <w:t>时</w:t>
      </w:r>
      <w:r>
        <w:rPr>
          <w:rFonts w:hint="eastAsia" w:ascii="宋体" w:hAnsi="宋体" w:eastAsia="宋体" w:cs="宋体"/>
          <w:bCs/>
          <w:sz w:val="22"/>
          <w:highlight w:val="none"/>
          <w:u w:val="single"/>
        </w:rPr>
        <w:t>严重破损或失散的投标文件；</w:t>
      </w:r>
    </w:p>
    <w:p w14:paraId="5C5DF19A">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14:paraId="2009A485">
      <w:pPr>
        <w:spacing w:before="156" w:beforeLines="50" w:after="156" w:afterLines="50"/>
        <w:jc w:val="center"/>
        <w:rPr>
          <w:rFonts w:hint="eastAsia" w:ascii="宋体" w:hAnsi="宋体" w:eastAsia="宋体" w:cs="宋体"/>
          <w:b/>
          <w:sz w:val="28"/>
          <w:szCs w:val="28"/>
          <w:highlight w:val="none"/>
        </w:rPr>
      </w:pPr>
      <w:bookmarkStart w:id="109" w:name="_Toc223717608"/>
      <w:bookmarkStart w:id="110" w:name="_Toc204578579"/>
      <w:bookmarkStart w:id="111" w:name="_Toc217460689"/>
      <w:bookmarkStart w:id="112" w:name="_Toc227057037"/>
      <w:bookmarkStart w:id="113" w:name="_Toc227056850"/>
      <w:bookmarkStart w:id="114" w:name="_Toc209250723"/>
      <w:bookmarkStart w:id="115" w:name="_Toc209261436"/>
      <w:bookmarkStart w:id="116" w:name="_Toc227489891"/>
      <w:bookmarkStart w:id="117" w:name="_Toc205703106"/>
      <w:bookmarkStart w:id="118" w:name="_Toc205877456"/>
      <w:bookmarkStart w:id="119" w:name="_Toc205005290"/>
      <w:bookmarkStart w:id="120" w:name="_Toc223933225"/>
      <w:bookmarkStart w:id="121" w:name="_Toc209261369"/>
      <w:bookmarkStart w:id="122" w:name="_Toc205877561"/>
      <w:bookmarkStart w:id="123" w:name="_Toc209332637"/>
      <w:bookmarkStart w:id="124" w:name="_Toc216667824"/>
      <w:bookmarkStart w:id="125" w:name="_Toc204491321"/>
      <w:bookmarkStart w:id="126" w:name="_Toc209251131"/>
      <w:bookmarkStart w:id="127" w:name="_Toc215415534"/>
      <w:bookmarkStart w:id="128" w:name="_Toc207609185"/>
      <w:bookmarkStart w:id="129" w:name="_Toc205004972"/>
      <w:bookmarkStart w:id="130" w:name="_Toc214365794"/>
      <w:bookmarkStart w:id="131" w:name="_Toc219538617"/>
      <w:bookmarkStart w:id="132" w:name="_Toc218041730"/>
      <w:bookmarkStart w:id="133" w:name="_Toc210879712"/>
      <w:r>
        <w:rPr>
          <w:rFonts w:hint="eastAsia" w:ascii="宋体" w:hAnsi="宋体" w:eastAsia="宋体" w:cs="宋体"/>
          <w:b/>
          <w:sz w:val="28"/>
          <w:szCs w:val="28"/>
          <w:highlight w:val="none"/>
        </w:rPr>
        <w:t>五、 开标和评审</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D08C695">
      <w:pPr>
        <w:numPr>
          <w:ilvl w:val="0"/>
          <w:numId w:val="3"/>
        </w:numPr>
        <w:tabs>
          <w:tab w:val="left" w:pos="525"/>
          <w:tab w:val="left" w:pos="900"/>
        </w:tabs>
        <w:ind w:left="525" w:hanging="525"/>
        <w:rPr>
          <w:rFonts w:hint="eastAsia" w:ascii="宋体" w:hAnsi="宋体" w:eastAsia="宋体" w:cs="宋体"/>
          <w:sz w:val="22"/>
          <w:highlight w:val="none"/>
        </w:rPr>
      </w:pPr>
      <w:bookmarkStart w:id="134" w:name="_Toc209261437"/>
      <w:bookmarkStart w:id="135" w:name="_Toc214365795"/>
      <w:bookmarkStart w:id="136" w:name="_Toc205877457"/>
      <w:bookmarkStart w:id="137" w:name="_Toc209250724"/>
      <w:bookmarkStart w:id="138" w:name="_Toc205005291"/>
      <w:bookmarkStart w:id="139" w:name="_Toc209332638"/>
      <w:bookmarkStart w:id="140" w:name="_Toc204578580"/>
      <w:bookmarkStart w:id="141" w:name="_Toc227056851"/>
      <w:bookmarkStart w:id="142" w:name="_Toc205877562"/>
      <w:bookmarkStart w:id="143" w:name="_Toc219538618"/>
      <w:bookmarkStart w:id="144" w:name="_Toc215415535"/>
      <w:bookmarkStart w:id="145" w:name="_Toc227057038"/>
      <w:bookmarkStart w:id="146" w:name="_Toc205004973"/>
      <w:bookmarkStart w:id="147" w:name="_Toc223933226"/>
      <w:bookmarkStart w:id="148" w:name="_Toc209251132"/>
      <w:bookmarkStart w:id="149" w:name="_Toc209261370"/>
      <w:bookmarkStart w:id="150" w:name="_Toc218041731"/>
      <w:bookmarkStart w:id="151" w:name="_Toc216667825"/>
      <w:bookmarkStart w:id="152" w:name="_Toc217460690"/>
      <w:bookmarkStart w:id="153" w:name="_Toc205703107"/>
      <w:bookmarkStart w:id="154" w:name="_Toc207609186"/>
      <w:bookmarkStart w:id="155" w:name="_Toc204491322"/>
      <w:bookmarkStart w:id="156" w:name="_Toc223717609"/>
      <w:bookmarkStart w:id="157" w:name="_Toc210879713"/>
      <w:bookmarkStart w:id="158" w:name="_Toc227489892"/>
      <w:r>
        <w:rPr>
          <w:rFonts w:hint="eastAsia" w:ascii="宋体" w:hAnsi="宋体" w:eastAsia="宋体" w:cs="宋体"/>
          <w:sz w:val="22"/>
          <w:highlight w:val="none"/>
        </w:rPr>
        <w:t>评标委员会</w:t>
      </w:r>
    </w:p>
    <w:p w14:paraId="006A4675">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14:paraId="702CFFC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14:paraId="2A6E8141">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14:paraId="57BA4D7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14:paraId="42C0FEA8">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14:paraId="4711B14E">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14:paraId="41AC199E">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公布在投标截止时间前递交投标文件的投标供应商名称，并点名确认投标供应商是否派授权代表到场；</w:t>
      </w:r>
    </w:p>
    <w:p w14:paraId="568C576D">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14:paraId="3C2B7945">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密封情况检查：由投标供应商或其推选的代表检查投标文件密封情况；</w:t>
      </w:r>
    </w:p>
    <w:p w14:paraId="4DA3B9F1">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w:t>
      </w:r>
      <w:r>
        <w:rPr>
          <w:rFonts w:hint="eastAsia" w:ascii="宋体" w:hAnsi="宋体" w:eastAsia="宋体" w:cs="宋体"/>
          <w:bCs/>
          <w:sz w:val="22"/>
          <w:highlight w:val="none"/>
          <w:lang w:val="en-US" w:eastAsia="zh-CN"/>
        </w:rPr>
        <w:t>同时</w:t>
      </w:r>
      <w:r>
        <w:rPr>
          <w:rFonts w:hint="eastAsia" w:ascii="宋体" w:hAnsi="宋体" w:eastAsia="宋体" w:cs="宋体"/>
          <w:bCs/>
          <w:sz w:val="22"/>
          <w:highlight w:val="none"/>
        </w:rPr>
        <w:t>开启技术资信部分投标文件、开启商务（报价）文件；</w:t>
      </w:r>
    </w:p>
    <w:p w14:paraId="2426610F">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确认开标结果：投标供应商授权代表对开标书面记录进行当场校核及勘误，并签字确认；并同时由记录人、核对人当场签字确认。</w:t>
      </w:r>
    </w:p>
    <w:p w14:paraId="6A12A97F">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14:paraId="0EB1CD80">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投标供应商授权代表未参加开标会议；未到场签字确认的，不影响开标，评标过程，视同认可开标结果；事后不得对采购相关人员、开标过程和开标结果提出异议。</w:t>
      </w:r>
    </w:p>
    <w:p w14:paraId="588888CA">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评标程序：先对各投标文件进行初审，然后对初审合格的投标文件进行技术资信标评审，技术资信标评审结束后，再对各有效标进行商务（报价）评审。</w:t>
      </w:r>
    </w:p>
    <w:p w14:paraId="768B2804">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14:paraId="183E4A50">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sz w:val="22"/>
          <w:highlight w:val="none"/>
          <w:lang w:eastAsia="zh-CN"/>
        </w:rPr>
        <w:t>法定代表人</w:t>
      </w:r>
      <w:r>
        <w:rPr>
          <w:rFonts w:hint="eastAsia" w:ascii="宋体" w:hAnsi="宋体" w:eastAsia="宋体" w:cs="宋体"/>
          <w:bCs/>
          <w:sz w:val="22"/>
          <w:highlight w:val="none"/>
        </w:rPr>
        <w:t>授权书（原件）、投标代表人有效身份证件、投标保证金缴纳凭证，以及投标文件所提交证明材料是否能证明符合本项目对投标人资格的实质性要求。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14:paraId="4F2271F0">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14:paraId="76C0AC37">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▲通过资格性审查与符合性审查的技术资信标由评委进行综合评审，审查确认未通过的技术资信标不予评审。</w:t>
      </w:r>
    </w:p>
    <w:p w14:paraId="5E012FF9">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14:paraId="1379750C">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w:t>
      </w:r>
      <w:r>
        <w:rPr>
          <w:rFonts w:hint="eastAsia" w:ascii="宋体" w:hAnsi="宋体" w:eastAsia="宋体" w:cs="宋体"/>
          <w:bCs/>
          <w:sz w:val="22"/>
          <w:highlight w:val="none"/>
          <w:u w:val="single"/>
          <w:lang w:val="en-US" w:eastAsia="zh-CN"/>
        </w:rPr>
        <w:t>主要内容</w:t>
      </w:r>
      <w:r>
        <w:rPr>
          <w:rFonts w:hint="eastAsia" w:ascii="宋体" w:hAnsi="宋体" w:eastAsia="宋体" w:cs="宋体"/>
          <w:bCs/>
          <w:sz w:val="22"/>
          <w:highlight w:val="none"/>
          <w:u w:val="single"/>
        </w:rPr>
        <w:t>未按要求加盖单位公章、无</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或其授权代表签字或盖章的；</w:t>
      </w:r>
    </w:p>
    <w:p w14:paraId="4913B861">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14:paraId="000F41CB">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合法、有效委托的；</w:t>
      </w:r>
    </w:p>
    <w:p w14:paraId="33E5187C">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14:paraId="2AFD5776">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14:paraId="69B3E478">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w:t>
      </w:r>
      <w:r>
        <w:rPr>
          <w:rFonts w:hint="eastAsia" w:ascii="宋体" w:hAnsi="宋体" w:eastAsia="宋体" w:cs="宋体"/>
          <w:bCs/>
          <w:sz w:val="22"/>
          <w:highlight w:val="none"/>
          <w:u w:val="single"/>
          <w:lang w:val="en-US" w:eastAsia="zh-CN"/>
        </w:rPr>
        <w:t>加</w:t>
      </w:r>
      <w:r>
        <w:rPr>
          <w:rFonts w:hint="eastAsia" w:ascii="宋体" w:hAnsi="宋体" w:eastAsia="宋体" w:cs="宋体"/>
          <w:bCs/>
          <w:sz w:val="22"/>
          <w:highlight w:val="none"/>
          <w:u w:val="single"/>
        </w:rPr>
        <w:t>“▲”同时加下划线</w:t>
      </w:r>
      <w:r>
        <w:rPr>
          <w:rFonts w:hint="eastAsia" w:ascii="宋体" w:hAnsi="宋体" w:eastAsia="宋体" w:cs="宋体"/>
          <w:bCs/>
          <w:sz w:val="22"/>
          <w:highlight w:val="none"/>
          <w:u w:val="single"/>
          <w:lang w:val="en-US" w:eastAsia="zh-CN"/>
        </w:rPr>
        <w:t>的</w:t>
      </w:r>
      <w:r>
        <w:rPr>
          <w:rFonts w:hint="eastAsia" w:ascii="宋体" w:hAnsi="宋体" w:eastAsia="宋体" w:cs="宋体"/>
          <w:bCs/>
          <w:sz w:val="22"/>
          <w:highlight w:val="none"/>
          <w:u w:val="single"/>
        </w:rPr>
        <w:t>条款；</w:t>
      </w:r>
    </w:p>
    <w:p w14:paraId="7EE607E0">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投标报价超过最高限价（大于</w:t>
      </w:r>
      <w:r>
        <w:rPr>
          <w:rFonts w:hint="eastAsia" w:ascii="宋体" w:hAnsi="宋体" w:eastAsia="宋体" w:cs="宋体"/>
          <w:bCs/>
          <w:sz w:val="22"/>
          <w:highlight w:val="none"/>
          <w:u w:val="single"/>
          <w:lang w:val="en-US" w:eastAsia="zh-CN"/>
        </w:rPr>
        <w:t>158万元</w:t>
      </w:r>
      <w:r>
        <w:rPr>
          <w:rFonts w:hint="eastAsia" w:ascii="宋体" w:hAnsi="宋体" w:eastAsia="宋体" w:cs="宋体"/>
          <w:bCs/>
          <w:sz w:val="22"/>
          <w:highlight w:val="none"/>
          <w:u w:val="single"/>
        </w:rPr>
        <w:t>）的；</w:t>
      </w:r>
    </w:p>
    <w:p w14:paraId="28299678">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14:paraId="3AC28C67">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14:paraId="739D6F4A">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14:paraId="53F9D98D">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w:t>
      </w:r>
      <w:r>
        <w:rPr>
          <w:rFonts w:hint="eastAsia" w:ascii="宋体" w:hAnsi="宋体" w:eastAsia="宋体" w:cs="宋体"/>
          <w:kern w:val="0"/>
          <w:sz w:val="22"/>
          <w:highlight w:val="none"/>
          <w:u w:val="single"/>
          <w:lang w:val="en-US" w:eastAsia="zh-CN"/>
        </w:rPr>
        <w:t>主要内容</w:t>
      </w:r>
      <w:r>
        <w:rPr>
          <w:rFonts w:hint="eastAsia" w:ascii="宋体" w:hAnsi="宋体" w:eastAsia="宋体" w:cs="宋体"/>
          <w:kern w:val="0"/>
          <w:sz w:val="22"/>
          <w:highlight w:val="none"/>
          <w:u w:val="single"/>
        </w:rPr>
        <w:t>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14:paraId="6A1116CD">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2）除22.4条款以外，出现其它明显不符合服务内容要求、技术服务标准要求或不满足采购文件“</w:t>
      </w:r>
      <w:r>
        <w:rPr>
          <w:rFonts w:hint="eastAsia" w:ascii="宋体" w:hAnsi="宋体" w:eastAsia="宋体" w:cs="宋体"/>
          <w:kern w:val="0"/>
          <w:sz w:val="22"/>
          <w:highlight w:val="none"/>
          <w:u w:val="single"/>
          <w:lang w:eastAsia="zh-CN"/>
        </w:rPr>
        <w:t>鳌江停车区物业服务</w:t>
      </w:r>
      <w:r>
        <w:rPr>
          <w:rFonts w:hint="eastAsia" w:ascii="宋体" w:hAnsi="宋体" w:eastAsia="宋体" w:cs="宋体"/>
          <w:kern w:val="0"/>
          <w:sz w:val="22"/>
          <w:highlight w:val="none"/>
          <w:u w:val="single"/>
        </w:rPr>
        <w:t>内容及要求”中的主要技术指标</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的投标文件；</w:t>
      </w:r>
    </w:p>
    <w:p w14:paraId="1D14B31F">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3）除22.4条款以外，出现投标项目服务工作量与采购文件对比出现较大偏差；商务报价明细表计算错误，出现较大差错；</w:t>
      </w:r>
    </w:p>
    <w:p w14:paraId="2DFDD2F4">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14:paraId="50232B1A">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有下列情形之一的，视为投标供应商串通投标，其投标无效</w:t>
      </w:r>
      <w:r>
        <w:rPr>
          <w:rFonts w:hint="eastAsia" w:ascii="宋体" w:hAnsi="宋体" w:eastAsia="宋体" w:cs="宋体"/>
          <w:kern w:val="0"/>
          <w:sz w:val="22"/>
          <w:highlight w:val="none"/>
        </w:rPr>
        <w:t>：</w:t>
      </w:r>
    </w:p>
    <w:p w14:paraId="00A8B921">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1)不同投标供应商的投标文件由同一单位或者个人编制；</w:t>
      </w:r>
    </w:p>
    <w:p w14:paraId="7AEA31CE">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2)不同投标供应商委托同一单位或者个人办理投标事宜；</w:t>
      </w:r>
    </w:p>
    <w:p w14:paraId="5705585D">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3)不同投标供应商的投标文件载明的项目管理成员或者联系人员为同一人；</w:t>
      </w:r>
    </w:p>
    <w:p w14:paraId="737791CA">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4）不同投标供应商的投标文件异常一致或者投标报价呈规律性差异；</w:t>
      </w:r>
    </w:p>
    <w:p w14:paraId="30B70D1D">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5）不同投标供应商的投标文件相互混装；</w:t>
      </w:r>
    </w:p>
    <w:p w14:paraId="1A1FC811">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6）不同投标供应商的投标保证金从同一单位或者个人的账户转出。</w:t>
      </w:r>
    </w:p>
    <w:p w14:paraId="61D8C5E3">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14:paraId="5BE2BD56">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14:paraId="36E590D7">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14:paraId="4CF8F0A8">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14:paraId="0A43A6DD">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14:paraId="721A4D00">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同时出现两种以上不一致的，按照前款规定的顺序修正（前款优先顺序为1）→2）→3）→4））。</w:t>
      </w:r>
    </w:p>
    <w:p w14:paraId="3AF3CE8C">
      <w:pPr>
        <w:tabs>
          <w:tab w:val="left" w:pos="735"/>
        </w:tabs>
        <w:ind w:left="420"/>
        <w:rPr>
          <w:rFonts w:hint="eastAsia" w:ascii="宋体" w:hAnsi="宋体" w:eastAsia="宋体" w:cs="宋体"/>
          <w:sz w:val="22"/>
          <w:highlight w:val="none"/>
          <w:u w:val="single"/>
        </w:rPr>
      </w:pPr>
      <w:r>
        <w:rPr>
          <w:rFonts w:hint="eastAsia" w:ascii="宋体" w:hAnsi="宋体" w:eastAsia="宋体" w:cs="宋体"/>
          <w:kern w:val="0"/>
          <w:sz w:val="22"/>
          <w:highlight w:val="none"/>
          <w:u w:val="single"/>
        </w:rPr>
        <w:t>▲</w:t>
      </w: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p>
    <w:p w14:paraId="64A6F734">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14:paraId="24D7FF93">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w:t>
      </w:r>
      <w:r>
        <w:rPr>
          <w:rFonts w:hint="eastAsia" w:ascii="宋体" w:hAnsi="宋体" w:eastAsia="宋体" w:cs="宋体"/>
          <w:bCs/>
          <w:color w:val="auto"/>
          <w:sz w:val="22"/>
          <w:highlight w:val="none"/>
        </w:rPr>
        <w:t>实质上响应的投标。</w:t>
      </w:r>
    </w:p>
    <w:p w14:paraId="44034F1B">
      <w:pPr>
        <w:numPr>
          <w:ilvl w:val="1"/>
          <w:numId w:val="12"/>
        </w:numPr>
        <w:tabs>
          <w:tab w:val="left" w:pos="525"/>
        </w:tabs>
        <w:ind w:left="525" w:hanging="525"/>
        <w:rPr>
          <w:rFonts w:hint="eastAsia" w:ascii="宋体" w:hAnsi="宋体" w:eastAsia="宋体" w:cs="宋体"/>
          <w:b/>
          <w:bCs/>
          <w:color w:val="auto"/>
          <w:kern w:val="0"/>
          <w:sz w:val="22"/>
          <w:highlight w:val="none"/>
          <w:u w:val="single"/>
        </w:rPr>
      </w:pPr>
      <w:r>
        <w:rPr>
          <w:rFonts w:hint="eastAsia" w:ascii="宋体" w:hAnsi="宋体" w:eastAsia="宋体" w:cs="宋体"/>
          <w:color w:val="auto"/>
          <w:kern w:val="0"/>
          <w:sz w:val="22"/>
          <w:highlight w:val="none"/>
        </w:rPr>
        <w:t>▲</w:t>
      </w:r>
      <w:r>
        <w:rPr>
          <w:rFonts w:hint="eastAsia" w:ascii="宋体" w:hAnsi="宋体" w:eastAsia="宋体" w:cs="宋体"/>
          <w:b/>
          <w:bCs/>
          <w:color w:val="auto"/>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w:t>
      </w:r>
      <w:r>
        <w:rPr>
          <w:rFonts w:hint="eastAsia" w:ascii="宋体" w:hAnsi="宋体" w:eastAsia="宋体" w:cs="宋体"/>
          <w:b/>
          <w:bCs/>
          <w:color w:val="auto"/>
          <w:kern w:val="0"/>
          <w:sz w:val="22"/>
          <w:highlight w:val="none"/>
          <w:u w:val="single"/>
          <w:lang w:val="en-US" w:eastAsia="zh-CN"/>
        </w:rPr>
        <w:t>人</w:t>
      </w:r>
      <w:r>
        <w:rPr>
          <w:rFonts w:hint="eastAsia" w:ascii="宋体" w:hAnsi="宋体" w:eastAsia="宋体" w:cs="宋体"/>
          <w:b/>
          <w:bCs/>
          <w:color w:val="auto"/>
          <w:kern w:val="0"/>
          <w:sz w:val="22"/>
          <w:highlight w:val="none"/>
          <w:u w:val="single"/>
        </w:rPr>
        <w:t>代表不能在评标现场规定的合理时间内（一般在半个小时左右，具体要求将根据实际情况约定）书面证明其报价合理性的，评标委员会将其作为投标无效处理。</w:t>
      </w:r>
    </w:p>
    <w:p w14:paraId="7FE30B36">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评标委员会对审查合格的投标文件按照采购文件中制订的评标方法进行综合评定打分。</w:t>
      </w:r>
    </w:p>
    <w:p w14:paraId="1F96A0D2">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评标过程中遇到特殊情况，由评标委员会遵循公开、公正原则，采取投票方式按照少数服从多数原则决定。</w:t>
      </w:r>
    </w:p>
    <w:p w14:paraId="686754C0">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
          <w:bCs/>
          <w:color w:val="auto"/>
          <w:sz w:val="22"/>
          <w:highlight w:val="none"/>
          <w:u w:val="single"/>
        </w:rPr>
        <w:t>▲如果供应商的报价超出最高限价，则该</w:t>
      </w:r>
      <w:r>
        <w:rPr>
          <w:rFonts w:hint="eastAsia" w:ascii="宋体" w:hAnsi="宋体" w:eastAsia="宋体" w:cs="宋体"/>
          <w:b/>
          <w:bCs/>
          <w:sz w:val="22"/>
          <w:highlight w:val="none"/>
          <w:u w:val="single"/>
        </w:rPr>
        <w:t>供应商的报价作无效标处理。本次采购如果所有供应商的报价均超出最高限价，则本采购项目做废标处理。</w:t>
      </w:r>
    </w:p>
    <w:p w14:paraId="08FBF8D1">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14:paraId="6AD00879">
      <w:pPr>
        <w:numPr>
          <w:ilvl w:val="1"/>
          <w:numId w:val="17"/>
        </w:numPr>
        <w:tabs>
          <w:tab w:val="left" w:pos="420"/>
          <w:tab w:val="left" w:pos="450"/>
        </w:tabs>
        <w:ind w:left="525" w:hanging="525"/>
        <w:rPr>
          <w:rFonts w:hint="eastAsia" w:ascii="宋体" w:hAnsi="宋体" w:eastAsia="宋体" w:cs="宋体"/>
          <w:sz w:val="22"/>
          <w:highlight w:val="none"/>
          <w:u w:val="singl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r>
        <w:rPr>
          <w:rFonts w:hint="eastAsia" w:ascii="宋体" w:hAnsi="宋体" w:eastAsia="宋体" w:cs="宋体"/>
          <w:sz w:val="22"/>
          <w:highlight w:val="none"/>
          <w:u w:val="non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u w:val="single"/>
        </w:rPr>
        <w:t>。</w:t>
      </w:r>
    </w:p>
    <w:p w14:paraId="76BB0581">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sz w:val="22"/>
          <w:highlight w:val="none"/>
          <w:u w:val="single"/>
        </w:rPr>
        <w:t>▲经澄清后，若偏差仍存在，且不可接受，</w:t>
      </w:r>
      <w:r>
        <w:rPr>
          <w:rFonts w:hint="eastAsia" w:ascii="宋体" w:hAnsi="宋体" w:eastAsia="宋体" w:cs="宋体"/>
          <w:b/>
          <w:bCs/>
          <w:sz w:val="22"/>
          <w:highlight w:val="none"/>
          <w:u w:val="single"/>
          <w:lang w:val="en-US" w:eastAsia="zh-CN"/>
        </w:rPr>
        <w:t>投标人则被认为是</w:t>
      </w:r>
      <w:r>
        <w:rPr>
          <w:rFonts w:hint="eastAsia" w:ascii="宋体" w:hAnsi="宋体" w:eastAsia="宋体" w:cs="宋体"/>
          <w:b/>
          <w:bCs/>
          <w:sz w:val="22"/>
          <w:highlight w:val="none"/>
          <w:u w:val="single"/>
        </w:rPr>
        <w:t>“没有实质性响应采购文件要求”，其投标</w:t>
      </w:r>
      <w:r>
        <w:rPr>
          <w:rFonts w:hint="eastAsia" w:ascii="宋体" w:hAnsi="宋体" w:eastAsia="宋体" w:cs="宋体"/>
          <w:b/>
          <w:bCs/>
          <w:sz w:val="22"/>
          <w:highlight w:val="none"/>
          <w:u w:val="single"/>
          <w:lang w:val="en-US" w:eastAsia="zh-CN"/>
        </w:rPr>
        <w:t>将作无效标处理</w:t>
      </w:r>
      <w:r>
        <w:rPr>
          <w:rFonts w:hint="eastAsia" w:ascii="宋体" w:hAnsi="宋体" w:eastAsia="宋体" w:cs="宋体"/>
          <w:sz w:val="22"/>
          <w:highlight w:val="none"/>
          <w:u w:val="single"/>
        </w:rPr>
        <w:t>。</w:t>
      </w:r>
    </w:p>
    <w:p w14:paraId="5F756A8B">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14:paraId="0314AE17">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14:paraId="77B937A8">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14:paraId="16622FD1">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14:paraId="0B164F49">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14:paraId="5AF1BE71">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14:paraId="2D6FF0D5">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14:paraId="37FF2868">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如本项目第一次采购因有效投标人数量不足3家作废标处理，根据《温州市市属国有企业采购管理办法（试行）的通知》相关条款规定，采购人将重新组织采购。</w:t>
      </w:r>
    </w:p>
    <w:p w14:paraId="39959622">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本项目属于国有企业采购项目，如重新采购后，在投标截止时间止及评审期间，出现有效供应商不足三家的情形，采购人可根据实际情况决定本项目继续按原有采购方式继续进行采购活动或转变采购方式或</w:t>
      </w:r>
      <w:r>
        <w:rPr>
          <w:rFonts w:hint="eastAsia" w:ascii="宋体" w:hAnsi="宋体" w:eastAsia="宋体" w:cs="宋体"/>
          <w:bCs/>
          <w:szCs w:val="21"/>
          <w:highlight w:val="none"/>
          <w:lang w:val="en-US" w:eastAsia="zh-CN"/>
        </w:rPr>
        <w:t>废</w:t>
      </w:r>
      <w:r>
        <w:rPr>
          <w:rFonts w:hint="eastAsia" w:ascii="宋体" w:hAnsi="宋体" w:eastAsia="宋体" w:cs="宋体"/>
          <w:bCs/>
          <w:szCs w:val="21"/>
          <w:highlight w:val="none"/>
        </w:rPr>
        <w:t>标。</w:t>
      </w:r>
    </w:p>
    <w:p w14:paraId="4E22D460">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14:paraId="0C6FD427">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14:paraId="48940E9E">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26DEE46">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确定中标供应商</w:t>
      </w:r>
    </w:p>
    <w:p w14:paraId="0E934B08">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人自收到评标报告之日起5个工作日内，在评标报告确定的中标候选人名单中按顺序确定中标供应商。</w:t>
      </w:r>
    </w:p>
    <w:p w14:paraId="3AB2CB1D">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中标</w:t>
      </w:r>
      <w:r>
        <w:rPr>
          <w:rFonts w:hint="eastAsia" w:ascii="宋体" w:hAnsi="宋体" w:eastAsia="宋体" w:cs="宋体"/>
          <w:bCs/>
          <w:sz w:val="22"/>
          <w:highlight w:val="none"/>
        </w:rPr>
        <w:t>供应商确定之日起2个工作日内，在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w:t>
      </w:r>
      <w:r>
        <w:rPr>
          <w:rFonts w:hint="eastAsia" w:ascii="宋体" w:hAnsi="宋体" w:eastAsia="宋体" w:cs="宋体"/>
          <w:bCs/>
          <w:sz w:val="22"/>
          <w:highlight w:val="none"/>
          <w:lang w:val="en-US" w:eastAsia="zh-CN"/>
        </w:rPr>
        <w:t>3</w:t>
      </w:r>
      <w:r>
        <w:rPr>
          <w:rFonts w:hint="eastAsia" w:ascii="宋体" w:hAnsi="宋体" w:eastAsia="宋体" w:cs="宋体"/>
          <w:bCs/>
          <w:sz w:val="22"/>
          <w:highlight w:val="none"/>
        </w:rPr>
        <w:t>日。</w:t>
      </w:r>
    </w:p>
    <w:p w14:paraId="1DD8B94F">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各投标供应商对评标结果如有异议，可在中标结果公告</w:t>
      </w:r>
      <w:r>
        <w:rPr>
          <w:rFonts w:hint="eastAsia" w:ascii="宋体" w:hAnsi="宋体" w:eastAsia="宋体" w:cs="宋体"/>
          <w:b/>
          <w:bCs/>
          <w:sz w:val="22"/>
          <w:highlight w:val="none"/>
          <w:u w:val="single"/>
          <w:lang w:val="en-US" w:eastAsia="zh-CN"/>
        </w:rPr>
        <w:t>期</w:t>
      </w:r>
      <w:r>
        <w:rPr>
          <w:rFonts w:hint="eastAsia" w:ascii="宋体" w:hAnsi="宋体" w:eastAsia="宋体" w:cs="宋体"/>
          <w:b/>
          <w:bCs/>
          <w:sz w:val="22"/>
          <w:highlight w:val="none"/>
          <w:u w:val="single"/>
        </w:rPr>
        <w:t>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温州市交通发展集团有限公司纪检监察室投诉。</w:t>
      </w:r>
    </w:p>
    <w:p w14:paraId="66E0176D">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14:paraId="06A8F753">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中标投标供应商应当在收到中标通知书之日起30日内与采购人签订合同。中标投标供应商未经采购人许可，在规定时间内未到采购人处与采购人签订合同，则视为拒签合同。</w:t>
      </w:r>
    </w:p>
    <w:p w14:paraId="14900C5B">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采购文件、中标投标供应商的投标文件及投标修改文件、评标过程中有关澄清文件及经双方签字的询标纪要（承诺）和中标通知书均作为合同附件。</w:t>
      </w:r>
    </w:p>
    <w:p w14:paraId="6183BE4A">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拒签合同的责任</w:t>
      </w:r>
    </w:p>
    <w:p w14:paraId="727F3016">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Cs/>
          <w:sz w:val="22"/>
          <w:szCs w:val="22"/>
          <w:highlight w:val="none"/>
        </w:rPr>
        <w:t>中标投标供应商在规定时间内（30日历天）借故否认已经承诺的条件、拒签合同，以投标违约处理，其投标保证金不予退回，并赔偿采购人由此造成的直接经济损失；采购人重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sz w:val="22"/>
          <w:szCs w:val="22"/>
          <w:highlight w:val="none"/>
        </w:rPr>
        <w:t>新组织采购的，所需费用由原中标投标供应商承担。</w:t>
      </w:r>
    </w:p>
    <w:p w14:paraId="220A8FA2">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中标人须在合同签订后二个工作日内提交一份合同文本向采购代理机构备案，否则会影响投标保证金的退付。</w:t>
      </w:r>
    </w:p>
    <w:p w14:paraId="7E0D7DB0">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w:t>
      </w:r>
    </w:p>
    <w:p w14:paraId="1CF7B90B">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中标人在收到中标通知书后，须按投标须知前附表的规定向采购人提交履约担保。</w:t>
      </w:r>
    </w:p>
    <w:p w14:paraId="7072F9C1">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履约担保用于补偿采购人因中标人不能履行其合同义务而蒙受的损失。</w:t>
      </w:r>
    </w:p>
    <w:p w14:paraId="6323DB0B">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履约担保自合同签订之日起至项目验收合格止有效。有效期满后，采购人应及时将履约保证金无息退还给中标人。</w:t>
      </w:r>
    </w:p>
    <w:p w14:paraId="0B36F388">
      <w:pPr>
        <w:numPr>
          <w:ilvl w:val="0"/>
          <w:numId w:val="3"/>
        </w:numPr>
        <w:tabs>
          <w:tab w:val="left" w:pos="540"/>
          <w:tab w:val="left" w:pos="900"/>
        </w:tabs>
        <w:ind w:left="525" w:hanging="525"/>
        <w:rPr>
          <w:rFonts w:hint="eastAsia" w:ascii="宋体" w:hAnsi="宋体" w:eastAsia="宋体" w:cs="宋体"/>
          <w:b w:val="0"/>
          <w:bCs/>
          <w:sz w:val="22"/>
          <w:szCs w:val="22"/>
          <w:highlight w:val="none"/>
          <w:shd w:val="clear" w:color="auto" w:fill="FFFF00"/>
        </w:rPr>
      </w:pPr>
      <w:r>
        <w:rPr>
          <w:rFonts w:hint="eastAsia" w:ascii="宋体" w:hAnsi="宋体" w:eastAsia="宋体" w:cs="宋体"/>
          <w:b w:val="0"/>
          <w:bCs/>
          <w:sz w:val="22"/>
          <w:szCs w:val="22"/>
          <w:highlight w:val="none"/>
        </w:rPr>
        <w:t>采购代理服务费</w:t>
      </w:r>
    </w:p>
    <w:p w14:paraId="3947B702">
      <w:pPr>
        <w:numPr>
          <w:ilvl w:val="0"/>
          <w:numId w:val="22"/>
        </w:numPr>
        <w:tabs>
          <w:tab w:val="left" w:pos="540"/>
        </w:tabs>
        <w:ind w:left="450" w:leftChars="0" w:hanging="450" w:firstLineChars="0"/>
        <w:rPr>
          <w:rFonts w:hint="eastAsia" w:ascii="宋体" w:hAnsi="宋体" w:eastAsia="宋体" w:cs="宋体"/>
          <w:b w:val="0"/>
          <w:bCs/>
          <w:sz w:val="22"/>
          <w:szCs w:val="22"/>
          <w:highlight w:val="none"/>
        </w:rPr>
      </w:pPr>
      <w:bookmarkStart w:id="159" w:name="_Toc223717610"/>
      <w:bookmarkStart w:id="160" w:name="_Toc227056852"/>
      <w:bookmarkStart w:id="161" w:name="_Toc219538619"/>
      <w:bookmarkStart w:id="162" w:name="_Toc223933227"/>
      <w:bookmarkStart w:id="163" w:name="_Toc227057039"/>
      <w:bookmarkStart w:id="164" w:name="_Toc217460691"/>
      <w:bookmarkStart w:id="165" w:name="_Toc215415536"/>
      <w:bookmarkStart w:id="166" w:name="_Toc218041732"/>
      <w:bookmarkStart w:id="167" w:name="_Toc216667826"/>
      <w:bookmarkStart w:id="168" w:name="_Toc227489893"/>
      <w:r>
        <w:rPr>
          <w:rFonts w:hint="eastAsia" w:ascii="宋体" w:hAnsi="宋体" w:eastAsia="宋体" w:cs="宋体"/>
          <w:b w:val="0"/>
          <w:bCs/>
          <w:sz w:val="22"/>
          <w:szCs w:val="22"/>
          <w:highlight w:val="none"/>
        </w:rPr>
        <w:t>本次采购代理服务费根据项目国家计委计价格［2002]1980号规定的服务类标准的80%收取，由中标供应商在领取中标（成交）通知书之前将代理服务费用支付给采购代理机构。</w:t>
      </w:r>
      <w:bookmarkStart w:id="169" w:name="_Hlk101877369"/>
      <w:r>
        <w:rPr>
          <w:rFonts w:hint="eastAsia" w:ascii="宋体" w:hAnsi="宋体" w:eastAsia="宋体" w:cs="宋体"/>
          <w:b w:val="0"/>
          <w:bCs/>
          <w:sz w:val="22"/>
          <w:szCs w:val="22"/>
          <w:highlight w:val="none"/>
        </w:rPr>
        <w:t>投标供应商在报价中综合考虑，今后采购人不再另行支付。</w:t>
      </w:r>
      <w:bookmarkEnd w:id="169"/>
    </w:p>
    <w:p w14:paraId="363CD76B">
      <w:pPr>
        <w:pStyle w:val="54"/>
        <w:spacing w:line="360" w:lineRule="auto"/>
        <w:ind w:left="425" w:firstLine="0" w:firstLine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采购代理服务收费标准</w:t>
      </w:r>
    </w:p>
    <w:tbl>
      <w:tblPr>
        <w:tblStyle w:val="24"/>
        <w:tblW w:w="8772"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94"/>
        <w:gridCol w:w="4578"/>
      </w:tblGrid>
      <w:tr w14:paraId="4FB4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15" w:type="dxa"/>
          <w:jc w:val="center"/>
        </w:trPr>
        <w:tc>
          <w:tcPr>
            <w:tcW w:w="4149" w:type="dxa"/>
            <w:noWrap w:val="0"/>
            <w:vAlign w:val="center"/>
          </w:tcPr>
          <w:p w14:paraId="181201D8">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sz w:val="18"/>
                <w:szCs w:val="18"/>
              </w:rPr>
              <w:t xml:space="preserve">     </w:t>
            </w:r>
            <w:r>
              <w:rPr>
                <w:rFonts w:hint="eastAsia" w:ascii="宋体" w:hAnsi="宋体" w:eastAsia="宋体" w:cs="宋体"/>
                <w:b w:val="0"/>
                <w:bCs w:val="0"/>
                <w:kern w:val="0"/>
                <w:sz w:val="18"/>
                <w:szCs w:val="18"/>
              </w:rPr>
              <w:t>金额（万元）</w:t>
            </w:r>
          </w:p>
        </w:tc>
        <w:tc>
          <w:tcPr>
            <w:tcW w:w="4533" w:type="dxa"/>
            <w:noWrap w:val="0"/>
            <w:vAlign w:val="center"/>
          </w:tcPr>
          <w:p w14:paraId="0D0B360D">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服务采购</w:t>
            </w:r>
          </w:p>
        </w:tc>
      </w:tr>
      <w:tr w14:paraId="1B62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15" w:type="dxa"/>
          <w:jc w:val="center"/>
        </w:trPr>
        <w:tc>
          <w:tcPr>
            <w:tcW w:w="4149" w:type="dxa"/>
            <w:noWrap w:val="0"/>
            <w:vAlign w:val="center"/>
          </w:tcPr>
          <w:p w14:paraId="167D047C">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100以下</w:t>
            </w:r>
          </w:p>
        </w:tc>
        <w:tc>
          <w:tcPr>
            <w:tcW w:w="4533" w:type="dxa"/>
            <w:noWrap w:val="0"/>
            <w:vAlign w:val="center"/>
          </w:tcPr>
          <w:p w14:paraId="35F56FE0">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1.50%</w:t>
            </w:r>
          </w:p>
        </w:tc>
      </w:tr>
      <w:tr w14:paraId="13E9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15" w:type="dxa"/>
          <w:jc w:val="center"/>
        </w:trPr>
        <w:tc>
          <w:tcPr>
            <w:tcW w:w="4149" w:type="dxa"/>
            <w:noWrap w:val="0"/>
            <w:vAlign w:val="center"/>
          </w:tcPr>
          <w:p w14:paraId="1389F1AD">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100-500</w:t>
            </w:r>
          </w:p>
        </w:tc>
        <w:tc>
          <w:tcPr>
            <w:tcW w:w="4533" w:type="dxa"/>
            <w:noWrap w:val="0"/>
            <w:vAlign w:val="center"/>
          </w:tcPr>
          <w:p w14:paraId="00DE88A5">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0.8%</w:t>
            </w:r>
          </w:p>
        </w:tc>
      </w:tr>
    </w:tbl>
    <w:p w14:paraId="24035EE8">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例：某服务项目中标金额为1</w:t>
      </w:r>
      <w:r>
        <w:rPr>
          <w:rFonts w:hint="eastAsia" w:ascii="宋体" w:hAnsi="宋体" w:eastAsia="宋体" w:cs="宋体"/>
          <w:b w:val="0"/>
          <w:bCs/>
          <w:sz w:val="22"/>
          <w:szCs w:val="22"/>
          <w:highlight w:val="none"/>
          <w:lang w:val="en-US" w:eastAsia="zh-CN"/>
        </w:rPr>
        <w:t>5</w:t>
      </w:r>
      <w:r>
        <w:rPr>
          <w:rFonts w:hint="eastAsia" w:ascii="宋体" w:hAnsi="宋体" w:eastAsia="宋体" w:cs="宋体"/>
          <w:b w:val="0"/>
          <w:bCs/>
          <w:sz w:val="22"/>
          <w:szCs w:val="22"/>
          <w:highlight w:val="none"/>
        </w:rPr>
        <w:t>0万元，计算采购代理服务收费额如下：</w:t>
      </w:r>
    </w:p>
    <w:p w14:paraId="102FB3B9">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100万元×1.5%＝1.5万元</w:t>
      </w:r>
    </w:p>
    <w:p w14:paraId="32AD25BA">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5</w:t>
      </w:r>
      <w:r>
        <w:rPr>
          <w:rFonts w:hint="eastAsia" w:ascii="宋体" w:hAnsi="宋体" w:eastAsia="宋体" w:cs="宋体"/>
          <w:b w:val="0"/>
          <w:bCs/>
          <w:sz w:val="22"/>
          <w:szCs w:val="22"/>
          <w:highlight w:val="none"/>
        </w:rPr>
        <w:t>0万元×0.8%＝0.4万元</w:t>
      </w:r>
    </w:p>
    <w:p w14:paraId="264EEF50">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合计1.9万元，打折后1.</w:t>
      </w:r>
      <w:r>
        <w:rPr>
          <w:rFonts w:hint="eastAsia" w:ascii="宋体" w:hAnsi="宋体" w:eastAsia="宋体" w:cs="宋体"/>
          <w:b w:val="0"/>
          <w:bCs/>
          <w:sz w:val="22"/>
          <w:szCs w:val="22"/>
          <w:highlight w:val="none"/>
          <w:lang w:val="en-US" w:eastAsia="zh-CN"/>
        </w:rPr>
        <w:t>52</w:t>
      </w:r>
      <w:r>
        <w:rPr>
          <w:rFonts w:hint="eastAsia" w:ascii="宋体" w:hAnsi="宋体" w:eastAsia="宋体" w:cs="宋体"/>
          <w:b w:val="0"/>
          <w:bCs/>
          <w:sz w:val="22"/>
          <w:szCs w:val="22"/>
          <w:highlight w:val="none"/>
        </w:rPr>
        <w:t>万元</w:t>
      </w:r>
    </w:p>
    <w:p w14:paraId="5869807F">
      <w:pPr>
        <w:tabs>
          <w:tab w:val="left" w:pos="2800"/>
        </w:tabs>
        <w:autoSpaceDE w:val="0"/>
        <w:autoSpaceDN w:val="0"/>
        <w:ind w:firstLine="440" w:firstLineChars="200"/>
        <w:jc w:val="left"/>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采购</w:t>
      </w:r>
      <w:r>
        <w:rPr>
          <w:rFonts w:hint="eastAsia" w:ascii="宋体" w:hAnsi="宋体" w:eastAsia="宋体" w:cs="宋体"/>
          <w:b w:val="0"/>
          <w:bCs/>
          <w:sz w:val="22"/>
          <w:szCs w:val="22"/>
          <w:highlight w:val="none"/>
        </w:rPr>
        <w:t>代理服务费汇入以下账号：</w:t>
      </w:r>
    </w:p>
    <w:p w14:paraId="3E093D44">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开户银行：工商银行杭州市武林支行</w:t>
      </w:r>
    </w:p>
    <w:p w14:paraId="5568FA1C">
      <w:pPr>
        <w:ind w:left="538" w:leftChars="256" w:firstLine="440" w:firstLineChars="200"/>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rPr>
        <w:t>开户名称：</w:t>
      </w:r>
      <w:r>
        <w:rPr>
          <w:rFonts w:hint="eastAsia" w:ascii="宋体" w:hAnsi="宋体" w:eastAsia="宋体" w:cs="宋体"/>
          <w:b w:val="0"/>
          <w:bCs/>
          <w:sz w:val="22"/>
          <w:szCs w:val="22"/>
          <w:highlight w:val="none"/>
          <w:lang w:eastAsia="zh-CN"/>
        </w:rPr>
        <w:t>浙江国际招投标有限公司</w:t>
      </w:r>
    </w:p>
    <w:p w14:paraId="4EA352A1">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开户账号：1202021209906782015</w:t>
      </w:r>
    </w:p>
    <w:p w14:paraId="0EC5C00C">
      <w:pPr>
        <w:ind w:left="538" w:leftChars="256"/>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采购代理服务费可以是现金、支票或汇票。</w:t>
      </w:r>
    </w:p>
    <w:p w14:paraId="0CB397E2">
      <w:pPr>
        <w:numPr>
          <w:ilvl w:val="0"/>
          <w:numId w:val="3"/>
        </w:numPr>
        <w:tabs>
          <w:tab w:val="left" w:pos="540"/>
          <w:tab w:val="left" w:pos="900"/>
        </w:tabs>
        <w:ind w:left="525" w:hanging="525"/>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乐采云技术服务费：</w:t>
      </w:r>
    </w:p>
    <w:p w14:paraId="5088D156">
      <w:pPr>
        <w:keepNext w:val="0"/>
        <w:keepLines w:val="0"/>
        <w:pageBreakBefore w:val="0"/>
        <w:widowControl w:val="0"/>
        <w:kinsoku/>
        <w:wordWrap w:val="0"/>
        <w:overflowPunct/>
        <w:topLinePunct w:val="0"/>
        <w:autoSpaceDE/>
        <w:autoSpaceDN/>
        <w:bidi w:val="0"/>
        <w:adjustRightInd/>
        <w:snapToGrid/>
        <w:ind w:left="538" w:leftChars="256"/>
        <w:textAlignment w:val="auto"/>
        <w:rPr>
          <w:rFonts w:hint="eastAsia" w:ascii="宋体" w:hAnsi="宋体" w:eastAsia="宋体" w:cs="宋体"/>
          <w:b/>
          <w:color w:val="auto"/>
          <w:sz w:val="22"/>
          <w:highlight w:val="none"/>
          <w:lang w:val="en-US" w:eastAsia="zh-CN"/>
        </w:rPr>
      </w:pPr>
      <w:r>
        <w:rPr>
          <w:rFonts w:hint="eastAsia" w:ascii="宋体" w:hAnsi="宋体" w:eastAsia="宋体" w:cs="宋体"/>
          <w:b/>
          <w:color w:val="auto"/>
          <w:sz w:val="22"/>
          <w:highlight w:val="none"/>
          <w:lang w:val="en-US" w:eastAsia="zh-CN"/>
        </w:rPr>
        <w:t>根据乐采云（https://www.lecaiyun.com/helpcenter/document#/document/detail?siteCode=lecaiyun&amp;manualId=2061&amp;topicId=8625）2023年9月6日发布的乐采云国企采购平台项目采购收费标准（温州市市属国企区）规定，本项目乐采云技术服务费由中标供应商于中标结果公示后支付该项目的技术服务费。各供应商投标总报价须包含该乐采云技术服务费。收费标准如下图（具体以系统实际收费为准）：</w:t>
      </w:r>
    </w:p>
    <w:p w14:paraId="1ACA86D7">
      <w:pPr>
        <w:numPr>
          <w:ilvl w:val="-1"/>
          <w:numId w:val="0"/>
        </w:numPr>
        <w:tabs>
          <w:tab w:val="left" w:pos="540"/>
          <w:tab w:val="left" w:pos="900"/>
        </w:tabs>
        <w:ind w:left="0" w:firstLine="0"/>
        <w:rPr>
          <w:rFonts w:hint="eastAsia" w:ascii="宋体" w:hAnsi="宋体" w:eastAsia="宋体" w:cs="宋体"/>
          <w:b w:val="0"/>
          <w:bCs/>
          <w:color w:val="auto"/>
          <w:sz w:val="22"/>
          <w:szCs w:val="22"/>
          <w:highlight w:val="none"/>
        </w:rPr>
      </w:pPr>
      <w:r>
        <w:rPr>
          <w:rFonts w:hint="eastAsia" w:ascii="宋体" w:hAnsi="宋体" w:eastAsia="宋体" w:cs="宋体"/>
          <w:color w:val="auto"/>
          <w:highlight w:val="none"/>
        </w:rPr>
        <w:drawing>
          <wp:inline distT="0" distB="0" distL="114300" distR="114300">
            <wp:extent cx="5487670" cy="2710815"/>
            <wp:effectExtent l="0" t="0" r="1397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487670" cy="2710815"/>
                    </a:xfrm>
                    <a:prstGeom prst="rect">
                      <a:avLst/>
                    </a:prstGeom>
                    <a:noFill/>
                    <a:ln>
                      <a:noFill/>
                    </a:ln>
                  </pic:spPr>
                </pic:pic>
              </a:graphicData>
            </a:graphic>
          </wp:inline>
        </w:drawing>
      </w:r>
    </w:p>
    <w:p w14:paraId="2FF82F41">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解释权</w:t>
      </w:r>
    </w:p>
    <w:p w14:paraId="46A16FCA">
      <w:pPr>
        <w:autoSpaceDE w:val="0"/>
        <w:autoSpaceDN w:val="0"/>
        <w:adjustRightInd w:val="0"/>
        <w:spacing w:after="120"/>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采购文件的解释权均属于采购人和浙江国际招投标有限公司。</w:t>
      </w:r>
    </w:p>
    <w:p w14:paraId="15BA38BE">
      <w:pPr>
        <w:spacing w:before="120" w:beforeLines="50" w:after="120" w:afterLines="5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 质疑与投诉</w:t>
      </w:r>
    </w:p>
    <w:p w14:paraId="328227B6">
      <w:pPr>
        <w:tabs>
          <w:tab w:val="left" w:pos="210"/>
        </w:tabs>
        <w:snapToGrid w:val="0"/>
        <w:ind w:left="4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供应商质疑</w:t>
      </w:r>
    </w:p>
    <w:p w14:paraId="0EC5B1C0">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lang w:val="zh-CN"/>
        </w:rPr>
        <w:t>提出质疑的供应商（以下简称质疑供应商）应当是参与所质疑项目采购活动的供应商。潜在供应商已依法获取其可质疑的采购文件的，可以对该文件提出质疑。</w:t>
      </w:r>
    </w:p>
    <w:p w14:paraId="10CE38ED">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1.2</w:t>
      </w:r>
      <w:r>
        <w:rPr>
          <w:rFonts w:hint="eastAsia" w:ascii="宋体" w:hAnsi="宋体" w:eastAsia="宋体" w:cs="宋体"/>
          <w:bCs/>
          <w:color w:val="auto"/>
          <w:sz w:val="22"/>
          <w:szCs w:val="22"/>
          <w:highlight w:val="none"/>
          <w:lang w:val="zh-CN"/>
        </w:rPr>
        <w:t>供应商认为采购文件、采购过程、中标</w:t>
      </w:r>
      <w:r>
        <w:rPr>
          <w:rFonts w:hint="eastAsia" w:ascii="宋体" w:hAnsi="宋体" w:eastAsia="宋体" w:cs="宋体"/>
          <w:bCs/>
          <w:color w:val="auto"/>
          <w:sz w:val="22"/>
          <w:szCs w:val="22"/>
          <w:highlight w:val="none"/>
        </w:rPr>
        <w:t>或者成交</w:t>
      </w:r>
      <w:r>
        <w:rPr>
          <w:rFonts w:hint="eastAsia" w:ascii="宋体" w:hAnsi="宋体" w:eastAsia="宋体" w:cs="宋体"/>
          <w:bCs/>
          <w:color w:val="auto"/>
          <w:sz w:val="22"/>
          <w:szCs w:val="22"/>
          <w:highlight w:val="none"/>
          <w:lang w:val="zh-CN"/>
        </w:rPr>
        <w:t>结果使自己的权益受到损害的，可以在知道或者应知其权益受到损害之日起</w:t>
      </w:r>
      <w:r>
        <w:rPr>
          <w:rFonts w:hint="eastAsia" w:ascii="宋体" w:hAnsi="宋体" w:eastAsia="宋体" w:cs="宋体"/>
          <w:bCs/>
          <w:color w:val="auto"/>
          <w:sz w:val="22"/>
          <w:szCs w:val="22"/>
          <w:highlight w:val="none"/>
        </w:rPr>
        <w:t>规定的时间</w:t>
      </w:r>
      <w:r>
        <w:rPr>
          <w:rFonts w:hint="eastAsia" w:ascii="宋体" w:hAnsi="宋体" w:eastAsia="宋体" w:cs="宋体"/>
          <w:bCs/>
          <w:color w:val="auto"/>
          <w:sz w:val="22"/>
          <w:szCs w:val="22"/>
          <w:highlight w:val="none"/>
          <w:lang w:val="zh-CN"/>
        </w:rPr>
        <w:t>内，以书面形式向采购人或者采购代理机构提出质疑，否则，采购人或者采购代理机构不予受理：</w:t>
      </w:r>
    </w:p>
    <w:p w14:paraId="2E0D6800">
      <w:pPr>
        <w:numPr>
          <w:ilvl w:val="0"/>
          <w:numId w:val="0"/>
        </w:numPr>
        <w:tabs>
          <w:tab w:val="left" w:pos="210"/>
          <w:tab w:val="left" w:pos="1050"/>
        </w:tabs>
        <w:snapToGrid w:val="0"/>
        <w:ind w:firstLine="440" w:firstLineChars="200"/>
        <w:jc w:val="left"/>
        <w:outlineLvl w:val="2"/>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highlight w:val="none"/>
          <w:lang w:val="en-US" w:eastAsia="zh-CN"/>
        </w:rPr>
        <w:t>1）对采购文件提出质疑的，质疑期限为自采购公告发出之日（采购公告发布当天不算）起6日内，以书面形式向采购人和采购代理机构提出质疑</w:t>
      </w:r>
      <w:r>
        <w:rPr>
          <w:rFonts w:hint="eastAsia" w:ascii="宋体" w:hAnsi="宋体" w:eastAsia="宋体" w:cs="宋体"/>
          <w:bCs/>
          <w:color w:val="auto"/>
          <w:sz w:val="22"/>
          <w:highlight w:val="none"/>
          <w:lang w:eastAsia="zh-CN"/>
        </w:rPr>
        <w:t>。</w:t>
      </w:r>
    </w:p>
    <w:p w14:paraId="0E7D7057">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对采购结果提出质疑的，质疑</w:t>
      </w:r>
      <w:r>
        <w:rPr>
          <w:rFonts w:hint="eastAsia" w:ascii="宋体" w:hAnsi="宋体" w:eastAsia="宋体" w:cs="宋体"/>
          <w:bCs/>
          <w:color w:val="auto"/>
          <w:sz w:val="22"/>
          <w:szCs w:val="22"/>
          <w:highlight w:val="none"/>
          <w:lang w:val="en-US" w:eastAsia="zh-CN"/>
        </w:rPr>
        <w:t>须在</w:t>
      </w:r>
      <w:r>
        <w:rPr>
          <w:rFonts w:hint="eastAsia" w:ascii="宋体" w:hAnsi="宋体" w:eastAsia="宋体" w:cs="宋体"/>
          <w:bCs/>
          <w:color w:val="auto"/>
          <w:sz w:val="22"/>
          <w:szCs w:val="22"/>
          <w:highlight w:val="none"/>
        </w:rPr>
        <w:t>采购结果公</w:t>
      </w:r>
      <w:r>
        <w:rPr>
          <w:rFonts w:hint="eastAsia" w:ascii="宋体" w:hAnsi="宋体" w:eastAsia="宋体" w:cs="宋体"/>
          <w:bCs/>
          <w:color w:val="auto"/>
          <w:sz w:val="22"/>
          <w:szCs w:val="22"/>
          <w:highlight w:val="none"/>
          <w:lang w:val="en-US" w:eastAsia="zh-CN"/>
        </w:rPr>
        <w:t>告</w:t>
      </w:r>
      <w:r>
        <w:rPr>
          <w:rFonts w:hint="eastAsia" w:ascii="宋体" w:hAnsi="宋体" w:eastAsia="宋体" w:cs="宋体"/>
          <w:bCs/>
          <w:color w:val="auto"/>
          <w:sz w:val="22"/>
          <w:szCs w:val="22"/>
          <w:highlight w:val="none"/>
        </w:rPr>
        <w:t>期</w:t>
      </w:r>
      <w:r>
        <w:rPr>
          <w:rFonts w:hint="eastAsia" w:ascii="宋体" w:hAnsi="宋体" w:eastAsia="宋体" w:cs="宋体"/>
          <w:bCs/>
          <w:color w:val="auto"/>
          <w:sz w:val="22"/>
          <w:szCs w:val="22"/>
          <w:highlight w:val="none"/>
          <w:lang w:val="zh-CN"/>
        </w:rPr>
        <w:t>内提出。</w:t>
      </w:r>
    </w:p>
    <w:p w14:paraId="474C06FD">
      <w:pPr>
        <w:tabs>
          <w:tab w:val="left" w:pos="210"/>
        </w:tabs>
        <w:snapToGrid w:val="0"/>
        <w:ind w:left="402"/>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1.3</w:t>
      </w:r>
      <w:r>
        <w:rPr>
          <w:rFonts w:hint="eastAsia" w:ascii="宋体" w:hAnsi="宋体" w:eastAsia="宋体" w:cs="宋体"/>
          <w:bCs/>
          <w:color w:val="auto"/>
          <w:sz w:val="22"/>
          <w:szCs w:val="22"/>
          <w:highlight w:val="none"/>
          <w:lang w:val="zh-CN"/>
        </w:rPr>
        <w:t>供应商提出质疑应当提交质疑函和必要的证明材料。质疑函应当包括下列内容：</w:t>
      </w:r>
    </w:p>
    <w:p w14:paraId="6234C991">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供应商的姓名或者名称、地址、邮编、联系人及联系电话；</w:t>
      </w:r>
    </w:p>
    <w:p w14:paraId="713E3F50">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质疑项目的名称、编号；</w:t>
      </w:r>
    </w:p>
    <w:p w14:paraId="6B256F90">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lang w:val="zh-CN"/>
        </w:rPr>
        <w:t>具体、明确的质疑事项和与质疑事项相关的请求；</w:t>
      </w:r>
    </w:p>
    <w:p w14:paraId="40114456">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事实依据；</w:t>
      </w:r>
    </w:p>
    <w:p w14:paraId="7D735BA6">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zh-CN"/>
        </w:rPr>
        <w:t>必要的法律依据；</w:t>
      </w:r>
    </w:p>
    <w:p w14:paraId="3DB91E6C">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zh-CN"/>
        </w:rPr>
        <w:t>提出质疑的日期。</w:t>
      </w:r>
    </w:p>
    <w:p w14:paraId="12553393">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55CAF7F7">
      <w:pPr>
        <w:tabs>
          <w:tab w:val="left" w:pos="210"/>
        </w:tabs>
        <w:wordWrap w:val="0"/>
        <w:snapToGrid w:val="0"/>
        <w:ind w:firstLine="440" w:firstLineChars="200"/>
        <w:jc w:val="left"/>
        <w:outlineLvl w:val="2"/>
        <w:rPr>
          <w:rFonts w:hint="eastAsia" w:ascii="宋体" w:hAnsi="宋体" w:eastAsia="宋体" w:cs="宋体"/>
          <w:b w:val="0"/>
          <w:bCs/>
          <w:color w:val="auto"/>
          <w:sz w:val="22"/>
          <w:szCs w:val="22"/>
          <w:highlight w:val="none"/>
          <w:u w:val="none"/>
          <w:lang w:val="zh-CN"/>
        </w:rPr>
      </w:pPr>
      <w:r>
        <w:rPr>
          <w:rFonts w:hint="eastAsia" w:ascii="宋体" w:hAnsi="宋体" w:eastAsia="宋体" w:cs="宋体"/>
          <w:b w:val="0"/>
          <w:bCs/>
          <w:color w:val="auto"/>
          <w:sz w:val="22"/>
          <w:szCs w:val="22"/>
          <w:highlight w:val="none"/>
          <w:u w:val="none"/>
          <w:lang w:val="zh-CN"/>
        </w:rPr>
        <w:t>质疑供应商的《质疑函》可参考政府采购质疑函范本的格式进行编写。下载地址如下：“https://sitecdn.zcycdn.com/site_group/prod/site_1/2018/06/12/15-22-570613413750772.docx”。供应商可以先发电子版质疑函，但质疑函的收到日期以采购代理或采购人收到纸质原件的日期为准。</w:t>
      </w:r>
    </w:p>
    <w:p w14:paraId="45763987">
      <w:pPr>
        <w:tabs>
          <w:tab w:val="left" w:pos="210"/>
          <w:tab w:val="left" w:pos="840"/>
        </w:tabs>
        <w:snapToGrid w:val="0"/>
        <w:ind w:firstLine="442" w:firstLineChars="200"/>
        <w:jc w:val="left"/>
        <w:outlineLvl w:val="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lang w:val="en-US" w:eastAsia="zh-CN"/>
        </w:rPr>
        <w:t>1.4</w:t>
      </w:r>
      <w:r>
        <w:rPr>
          <w:rFonts w:hint="eastAsia" w:ascii="宋体" w:hAnsi="宋体" w:eastAsia="宋体" w:cs="宋体"/>
          <w:b/>
          <w:color w:val="auto"/>
          <w:sz w:val="22"/>
          <w:szCs w:val="22"/>
          <w:highlight w:val="none"/>
          <w:u w:val="single"/>
          <w:lang w:val="zh-CN"/>
        </w:rPr>
        <w:t>对同一采购程序环节的质疑</w:t>
      </w:r>
      <w:r>
        <w:rPr>
          <w:rFonts w:hint="eastAsia" w:ascii="宋体" w:hAnsi="宋体" w:eastAsia="宋体" w:cs="宋体"/>
          <w:b/>
          <w:color w:val="auto"/>
          <w:sz w:val="22"/>
          <w:szCs w:val="22"/>
          <w:highlight w:val="none"/>
          <w:u w:val="single"/>
        </w:rPr>
        <w:t>时</w:t>
      </w:r>
      <w:r>
        <w:rPr>
          <w:rFonts w:hint="eastAsia" w:ascii="宋体" w:hAnsi="宋体" w:eastAsia="宋体" w:cs="宋体"/>
          <w:b/>
          <w:color w:val="auto"/>
          <w:sz w:val="22"/>
          <w:szCs w:val="22"/>
          <w:highlight w:val="none"/>
          <w:u w:val="single"/>
          <w:lang w:val="zh-CN"/>
        </w:rPr>
        <w:t>，供应商须在法定质疑期内一次性提出，</w:t>
      </w:r>
      <w:r>
        <w:rPr>
          <w:rFonts w:hint="eastAsia" w:ascii="宋体" w:hAnsi="宋体" w:eastAsia="宋体" w:cs="宋体"/>
          <w:b/>
          <w:color w:val="auto"/>
          <w:sz w:val="22"/>
          <w:highlight w:val="none"/>
          <w:u w:val="single"/>
          <w:lang w:val="zh-CN"/>
        </w:rPr>
        <w:t>已经提出过质疑的投标供应商在质疑期内不能提出新的质疑。</w:t>
      </w:r>
    </w:p>
    <w:p w14:paraId="202EADAF">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1.5</w:t>
      </w:r>
      <w:r>
        <w:rPr>
          <w:rFonts w:hint="eastAsia" w:ascii="宋体" w:hAnsi="宋体" w:eastAsia="宋体" w:cs="宋体"/>
          <w:bCs/>
          <w:color w:val="auto"/>
          <w:sz w:val="22"/>
          <w:szCs w:val="22"/>
          <w:highlight w:val="none"/>
          <w:lang w:val="zh-CN"/>
        </w:rPr>
        <w:t>采购人负责供应商质疑答复。采购人委托采购代理机构采购的，采购代理机构对委托授权范围内质疑事项作出答复。委托授权范围应当在采购代理协议中明确。</w:t>
      </w:r>
    </w:p>
    <w:p w14:paraId="5894186E">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1.6</w:t>
      </w:r>
      <w:r>
        <w:rPr>
          <w:rFonts w:hint="eastAsia" w:ascii="宋体" w:hAnsi="宋体" w:eastAsia="宋体" w:cs="宋体"/>
          <w:bCs/>
          <w:color w:val="auto"/>
          <w:sz w:val="22"/>
          <w:szCs w:val="22"/>
          <w:highlight w:val="none"/>
          <w:lang w:val="zh-CN"/>
        </w:rPr>
        <w:t>采购人或者采购代理机构应当在收到供应商的书面质疑后七个工作日内作出答复，但答复的内容不得涉及商业秘密。</w:t>
      </w:r>
    </w:p>
    <w:p w14:paraId="0255EAE7">
      <w:pPr>
        <w:tabs>
          <w:tab w:val="left" w:pos="210"/>
        </w:tabs>
        <w:snapToGrid w:val="0"/>
        <w:ind w:firstLine="442" w:firstLineChars="2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供应商投诉</w:t>
      </w:r>
    </w:p>
    <w:p w14:paraId="4E57AD73">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2.1</w:t>
      </w:r>
      <w:r>
        <w:rPr>
          <w:rFonts w:hint="eastAsia" w:ascii="宋体" w:hAnsi="宋体" w:eastAsia="宋体" w:cs="宋体"/>
          <w:bCs/>
          <w:color w:val="auto"/>
          <w:sz w:val="22"/>
          <w:szCs w:val="22"/>
          <w:highlight w:val="none"/>
          <w:lang w:val="zh-CN"/>
        </w:rPr>
        <w:t>质疑供应商对采购人、采购代理机构的答复不满意或者采购人、采购代理机构未在规定的时间内作出答复的，可以在答复期满后</w:t>
      </w:r>
      <w:r>
        <w:rPr>
          <w:rFonts w:hint="eastAsia" w:ascii="宋体" w:hAnsi="宋体" w:eastAsia="宋体" w:cs="宋体"/>
          <w:bCs/>
          <w:color w:val="auto"/>
          <w:sz w:val="22"/>
          <w:szCs w:val="22"/>
          <w:highlight w:val="none"/>
        </w:rPr>
        <w:t>15</w:t>
      </w:r>
      <w:r>
        <w:rPr>
          <w:rFonts w:hint="eastAsia" w:ascii="宋体" w:hAnsi="宋体" w:eastAsia="宋体" w:cs="宋体"/>
          <w:bCs/>
          <w:color w:val="auto"/>
          <w:sz w:val="22"/>
          <w:szCs w:val="22"/>
          <w:highlight w:val="none"/>
          <w:lang w:val="zh-CN"/>
        </w:rPr>
        <w:t>个工作日内向采购人（集团）的内设监管职能部门投诉。</w:t>
      </w:r>
    </w:p>
    <w:p w14:paraId="4FA9BC58">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val="zh-CN"/>
        </w:rPr>
        <w:t>供应商投诉的事项不得超出已质疑事项的范围，基于质疑答复内容提出的投诉事项除外。</w:t>
      </w:r>
    </w:p>
    <w:p w14:paraId="424BF1FF">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2.3</w:t>
      </w:r>
      <w:r>
        <w:rPr>
          <w:rFonts w:hint="eastAsia" w:ascii="宋体" w:hAnsi="宋体" w:eastAsia="宋体" w:cs="宋体"/>
          <w:bCs/>
          <w:color w:val="auto"/>
          <w:sz w:val="22"/>
          <w:szCs w:val="22"/>
          <w:highlight w:val="none"/>
          <w:lang w:val="zh-CN"/>
        </w:rPr>
        <w:t>供应商投诉应当有明确的请求和必要的证明材料。</w:t>
      </w:r>
    </w:p>
    <w:p w14:paraId="1934E470">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2.4</w:t>
      </w:r>
      <w:r>
        <w:rPr>
          <w:rFonts w:hint="eastAsia" w:ascii="宋体" w:hAnsi="宋体" w:eastAsia="宋体" w:cs="宋体"/>
          <w:bCs/>
          <w:color w:val="auto"/>
          <w:sz w:val="22"/>
          <w:szCs w:val="22"/>
          <w:highlight w:val="none"/>
          <w:lang w:val="zh-CN"/>
        </w:rPr>
        <w:t>以联合体形式参加采购活动的，其投诉应当由组成联合体的所有供应商共同提出。</w:t>
      </w:r>
    </w:p>
    <w:p w14:paraId="5A03F662">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2.5投诉供应商认为投诉回复处理结果不合法的，可以依法向采购人所在地人民法院提起诉讼。</w:t>
      </w:r>
    </w:p>
    <w:p w14:paraId="30075046">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3.投诉处理过程中，有下列情形之一的，采购监管部门应当驳回投诉：</w:t>
      </w:r>
    </w:p>
    <w:p w14:paraId="59A0511B">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3.1受理后发现投诉不符合法定受理条件；</w:t>
      </w:r>
    </w:p>
    <w:p w14:paraId="4B0A1453">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3.2投诉事项缺乏事实依据，投诉事项不成立；</w:t>
      </w:r>
    </w:p>
    <w:p w14:paraId="46654255">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3.3投诉人捏造事实或者提供虚假材料；</w:t>
      </w:r>
    </w:p>
    <w:p w14:paraId="4F8C3F87">
      <w:pPr>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3.4投诉人以非法手段取得证明材料。证据来源的合法性存在明显疑问，投诉人无法证明其取得方式合法的，视为以非法手段取得证明材料。</w:t>
      </w:r>
    </w:p>
    <w:p w14:paraId="0D2DB87D">
      <w:pPr>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4.其他</w:t>
      </w:r>
    </w:p>
    <w:p w14:paraId="18E2DF47">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4.1</w:t>
      </w:r>
      <w:r>
        <w:rPr>
          <w:rFonts w:hint="eastAsia" w:ascii="宋体" w:hAnsi="宋体" w:eastAsia="宋体" w:cs="宋体"/>
          <w:bCs/>
          <w:color w:val="auto"/>
          <w:sz w:val="22"/>
          <w:szCs w:val="22"/>
          <w:highlight w:val="none"/>
          <w:lang w:val="zh-CN"/>
        </w:rPr>
        <w:t>质疑供应商或投诉供应商应当承担投诉事项的举证责任，质疑供应商或投诉供应商未提供相关证据、依据和其他有关材料的，视为该质疑或投诉事项不成立；被质疑供应商或被投诉供应商未按照质疑答复通知书或投诉答复通知书要求提交相关证据、依据和其他有关材料的，视同其放弃说明权利，依法承担不利后果。</w:t>
      </w:r>
    </w:p>
    <w:p w14:paraId="1ECE5981">
      <w:pPr>
        <w:ind w:firstLine="440" w:firstLineChars="200"/>
        <w:rPr>
          <w:rFonts w:hint="eastAsia" w:ascii="宋体" w:hAnsi="宋体" w:eastAsia="宋体" w:cs="宋体"/>
          <w:bCs/>
          <w:color w:val="auto"/>
          <w:sz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.2如有发现不实的质疑或投诉（包括但不限于未提供证据、证据与质疑或投诉内容无关联、虚假证据等），采购人有权视其为不实的质疑投诉，并有权将该供应商纳入集团黑名单，同时保留对外公布的权利。</w:t>
      </w:r>
    </w:p>
    <w:p w14:paraId="4A7C8276">
      <w:pPr>
        <w:autoSpaceDE w:val="0"/>
        <w:autoSpaceDN w:val="0"/>
        <w:adjustRightInd w:val="0"/>
        <w:spacing w:after="120"/>
        <w:jc w:val="left"/>
        <w:rPr>
          <w:rFonts w:hint="eastAsia" w:ascii="宋体" w:hAnsi="宋体" w:eastAsia="宋体" w:cs="宋体"/>
          <w:sz w:val="22"/>
          <w:szCs w:val="22"/>
          <w:highlight w:val="none"/>
        </w:rPr>
      </w:pPr>
    </w:p>
    <w:p w14:paraId="2C660B0B">
      <w:pPr>
        <w:keepNext/>
        <w:spacing w:before="312"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22"/>
          <w:szCs w:val="22"/>
          <w:highlight w:val="none"/>
        </w:rPr>
        <w:br w:type="page"/>
      </w:r>
      <w:bookmarkStart w:id="170" w:name="_Toc491780524"/>
      <w:r>
        <w:rPr>
          <w:rFonts w:hint="eastAsia" w:ascii="宋体" w:hAnsi="宋体" w:eastAsia="宋体" w:cs="宋体"/>
          <w:b/>
          <w:bCs/>
          <w:sz w:val="36"/>
          <w:szCs w:val="36"/>
          <w:highlight w:val="none"/>
        </w:rPr>
        <w:t>第二部分 合同条款</w:t>
      </w:r>
      <w:bookmarkEnd w:id="170"/>
    </w:p>
    <w:bookmarkEnd w:id="159"/>
    <w:bookmarkEnd w:id="160"/>
    <w:bookmarkEnd w:id="161"/>
    <w:bookmarkEnd w:id="162"/>
    <w:bookmarkEnd w:id="163"/>
    <w:bookmarkEnd w:id="164"/>
    <w:bookmarkEnd w:id="165"/>
    <w:bookmarkEnd w:id="166"/>
    <w:bookmarkEnd w:id="167"/>
    <w:bookmarkEnd w:id="168"/>
    <w:p w14:paraId="20BFD32C">
      <w:pPr>
        <w:rPr>
          <w:rFonts w:hint="eastAsia" w:ascii="宋体" w:hAnsi="宋体" w:eastAsia="宋体" w:cs="宋体"/>
          <w:szCs w:val="21"/>
          <w:highlight w:val="none"/>
        </w:rPr>
      </w:pPr>
      <w:bookmarkStart w:id="171" w:name="_Toc216667827"/>
      <w:bookmarkStart w:id="172" w:name="_Toc223717611"/>
      <w:bookmarkStart w:id="173" w:name="_Toc217460692"/>
      <w:bookmarkStart w:id="174" w:name="_Toc227056853"/>
      <w:bookmarkStart w:id="175" w:name="_Toc227489894"/>
      <w:bookmarkStart w:id="176" w:name="_Toc219538620"/>
      <w:bookmarkStart w:id="177" w:name="_Toc223933228"/>
      <w:bookmarkStart w:id="178" w:name="_Toc215415537"/>
      <w:bookmarkStart w:id="179" w:name="_Toc218041733"/>
      <w:bookmarkStart w:id="180" w:name="_Toc227057040"/>
      <w:bookmarkStart w:id="181" w:name="_Toc223717612"/>
      <w:bookmarkStart w:id="182" w:name="_Toc218041734"/>
      <w:bookmarkStart w:id="183" w:name="_Toc219538621"/>
      <w:bookmarkStart w:id="184" w:name="_Toc223933229"/>
      <w:bookmarkStart w:id="185" w:name="_Toc215415538"/>
      <w:bookmarkStart w:id="186" w:name="_Toc216667828"/>
      <w:bookmarkStart w:id="187" w:name="_Toc217460693"/>
      <w:bookmarkStart w:id="188" w:name="_Toc227057041"/>
      <w:bookmarkStart w:id="189" w:name="_Toc227489895"/>
      <w:bookmarkStart w:id="190" w:name="_Toc227056854"/>
    </w:p>
    <w:p w14:paraId="7D4A8630">
      <w:pPr>
        <w:jc w:val="center"/>
        <w:rPr>
          <w:rFonts w:hint="eastAsia" w:ascii="宋体" w:hAnsi="宋体" w:eastAsia="宋体" w:cs="宋体"/>
          <w:szCs w:val="21"/>
          <w:highlight w:val="none"/>
        </w:rPr>
      </w:pPr>
      <w:r>
        <w:rPr>
          <w:rFonts w:hint="eastAsia" w:ascii="宋体" w:hAnsi="宋体" w:eastAsia="宋体" w:cs="宋体"/>
          <w:szCs w:val="21"/>
          <w:highlight w:val="none"/>
        </w:rPr>
        <w:t>（1）合同主要条款</w:t>
      </w:r>
    </w:p>
    <w:p w14:paraId="38445C4B">
      <w:pPr>
        <w:pStyle w:val="13"/>
        <w:snapToGrid w:val="0"/>
        <w:jc w:val="both"/>
        <w:rPr>
          <w:rFonts w:hint="eastAsia" w:ascii="宋体" w:hAnsi="宋体" w:eastAsia="宋体" w:cs="宋体"/>
          <w:b/>
          <w:bCs/>
          <w:kern w:val="2"/>
          <w:highlight w:val="none"/>
        </w:rPr>
      </w:pPr>
    </w:p>
    <w:p w14:paraId="5E3C216C">
      <w:pPr>
        <w:pStyle w:val="13"/>
        <w:snapToGrid w:val="0"/>
        <w:jc w:val="both"/>
        <w:rPr>
          <w:rFonts w:hint="eastAsia" w:ascii="宋体" w:hAnsi="宋体" w:eastAsia="宋体" w:cs="宋体"/>
          <w:b/>
          <w:bCs/>
          <w:kern w:val="2"/>
          <w:highlight w:val="none"/>
        </w:rPr>
      </w:pPr>
      <w:r>
        <w:rPr>
          <w:rFonts w:hint="eastAsia" w:ascii="宋体" w:hAnsi="宋体" w:eastAsia="宋体" w:cs="宋体"/>
          <w:b/>
          <w:bCs/>
          <w:kern w:val="2"/>
          <w:highlight w:val="none"/>
        </w:rPr>
        <w:t>注：本合同作为示范文本，具体以中标供应商与采购人所签定正式合同为准。</w:t>
      </w:r>
    </w:p>
    <w:p w14:paraId="0DE87FC1">
      <w:pPr>
        <w:autoSpaceDE w:val="0"/>
        <w:autoSpaceDN w:val="0"/>
        <w:adjustRightInd w:val="0"/>
        <w:spacing w:line="240" w:lineRule="auto"/>
        <w:rPr>
          <w:rFonts w:hint="eastAsia" w:ascii="宋体" w:hAnsi="宋体" w:eastAsia="宋体" w:cs="宋体"/>
          <w:color w:val="auto"/>
          <w:sz w:val="21"/>
          <w:szCs w:val="21"/>
          <w:highlight w:val="none"/>
          <w:lang w:val="zh-CN"/>
        </w:rPr>
      </w:pPr>
    </w:p>
    <w:bookmarkEnd w:id="171"/>
    <w:bookmarkEnd w:id="172"/>
    <w:bookmarkEnd w:id="173"/>
    <w:bookmarkEnd w:id="174"/>
    <w:bookmarkEnd w:id="175"/>
    <w:bookmarkEnd w:id="176"/>
    <w:bookmarkEnd w:id="177"/>
    <w:bookmarkEnd w:id="178"/>
    <w:bookmarkEnd w:id="179"/>
    <w:bookmarkEnd w:id="180"/>
    <w:p w14:paraId="7C793456">
      <w:pPr>
        <w:autoSpaceDE w:val="0"/>
        <w:autoSpaceDN w:val="0"/>
        <w:adjustRightInd w:val="0"/>
        <w:spacing w:line="360" w:lineRule="auto"/>
        <w:jc w:val="center"/>
        <w:outlineLvl w:val="0"/>
        <w:rPr>
          <w:rFonts w:hint="eastAsia" w:ascii="宋体" w:hAnsi="宋体" w:eastAsia="宋体" w:cs="宋体"/>
          <w:color w:val="auto"/>
          <w:sz w:val="24"/>
          <w:szCs w:val="24"/>
          <w:highlight w:val="none"/>
          <w:lang w:val="en-US" w:eastAsia="zh-CN"/>
        </w:rPr>
      </w:pPr>
      <w:bookmarkStart w:id="191" w:name="_Toc491780525"/>
      <w:r>
        <w:rPr>
          <w:rFonts w:hint="eastAsia" w:ascii="宋体" w:hAnsi="宋体" w:eastAsia="宋体" w:cs="宋体"/>
          <w:b/>
          <w:bCs/>
          <w:color w:val="auto"/>
          <w:sz w:val="30"/>
          <w:szCs w:val="30"/>
          <w:highlight w:val="none"/>
          <w:lang w:val="zh-CN"/>
        </w:rPr>
        <w:t>鳌江停车区物业服务</w:t>
      </w:r>
      <w:r>
        <w:rPr>
          <w:rFonts w:hint="eastAsia" w:ascii="宋体" w:hAnsi="宋体" w:eastAsia="宋体" w:cs="宋体"/>
          <w:b/>
          <w:bCs/>
          <w:color w:val="auto"/>
          <w:sz w:val="30"/>
          <w:szCs w:val="30"/>
          <w:highlight w:val="none"/>
          <w:lang w:val="en-US" w:eastAsia="zh-CN"/>
        </w:rPr>
        <w:t>合同</w:t>
      </w:r>
    </w:p>
    <w:p w14:paraId="3B4CDD27">
      <w:pPr>
        <w:autoSpaceDE w:val="0"/>
        <w:autoSpaceDN w:val="0"/>
        <w:adjustRightInd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编  号：</w:t>
      </w:r>
    </w:p>
    <w:p w14:paraId="1C154846">
      <w:pPr>
        <w:autoSpaceDE w:val="0"/>
        <w:autoSpaceDN w:val="0"/>
        <w:adjustRightIn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委托方：温州市高速公路资产经营有限公司（以下简称甲方）</w:t>
      </w:r>
    </w:p>
    <w:p w14:paraId="46F76B30">
      <w:pPr>
        <w:tabs>
          <w:tab w:val="left" w:pos="4800"/>
        </w:tabs>
        <w:autoSpaceDE w:val="0"/>
        <w:autoSpaceDN w:val="0"/>
        <w:adjustRightIn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受托方：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（以下简称乙方）</w:t>
      </w:r>
    </w:p>
    <w:p w14:paraId="77452369">
      <w:pPr>
        <w:spacing w:line="240" w:lineRule="auto"/>
        <w:ind w:firstLine="480" w:firstLineChars="200"/>
        <w:rPr>
          <w:rFonts w:hint="eastAsia" w:ascii="宋体" w:hAnsi="宋体" w:eastAsia="宋体" w:cs="宋体"/>
          <w:color w:val="auto"/>
          <w:sz w:val="24"/>
          <w:szCs w:val="24"/>
          <w:highlight w:val="none"/>
        </w:rPr>
      </w:pPr>
    </w:p>
    <w:p w14:paraId="7D5E0B48">
      <w:pPr>
        <w:spacing w:line="24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》等法律法规，本着平等互利的原则，经甲、乙双方友好协商，就乙方为甲方提供物业管理服务事宜达成如下协议：</w:t>
      </w:r>
    </w:p>
    <w:p w14:paraId="0007338D">
      <w:pPr>
        <w:spacing w:line="240" w:lineRule="auto"/>
        <w:ind w:firstLine="482" w:firstLineChars="200"/>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第一章  总则</w:t>
      </w:r>
    </w:p>
    <w:p w14:paraId="04FD0853">
      <w:pPr>
        <w:autoSpaceDE w:val="0"/>
        <w:autoSpaceDN w:val="0"/>
        <w:adjustRightInd w:val="0"/>
        <w:spacing w:line="24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zh-CN"/>
        </w:rPr>
        <w:t>第一条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项目基本情况</w:t>
      </w:r>
    </w:p>
    <w:p w14:paraId="14C363D4">
      <w:pPr>
        <w:spacing w:line="24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物业类型</w:t>
      </w:r>
      <w:r>
        <w:rPr>
          <w:rFonts w:hint="eastAsia" w:ascii="宋体" w:hAnsi="宋体" w:eastAsia="宋体" w:cs="宋体"/>
          <w:color w:val="auto"/>
          <w:sz w:val="24"/>
          <w:szCs w:val="24"/>
          <w:highlight w:val="none"/>
          <w:u w:val="single"/>
        </w:rPr>
        <w:t>：综合型（办公、商铺、餐厅、停车场、卫生间、设施设备</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含食堂设备设施</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等物业服务）</w:t>
      </w:r>
    </w:p>
    <w:p w14:paraId="78B5C06A">
      <w:pPr>
        <w:spacing w:line="24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座落位置：</w:t>
      </w:r>
      <w:r>
        <w:rPr>
          <w:rFonts w:hint="eastAsia" w:ascii="宋体" w:hAnsi="宋体" w:eastAsia="宋体" w:cs="宋体"/>
          <w:color w:val="auto"/>
          <w:sz w:val="24"/>
          <w:szCs w:val="24"/>
          <w:highlight w:val="none"/>
          <w:u w:val="single"/>
          <w:lang w:val="en-US" w:eastAsia="zh-CN"/>
        </w:rPr>
        <w:t xml:space="preserve">                                                             </w:t>
      </w:r>
    </w:p>
    <w:p w14:paraId="06C955D2">
      <w:pPr>
        <w:spacing w:line="24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占地面积</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42</w:t>
      </w:r>
      <w:r>
        <w:rPr>
          <w:rFonts w:hint="eastAsia" w:ascii="宋体" w:hAnsi="宋体" w:eastAsia="宋体" w:cs="宋体"/>
          <w:color w:val="auto"/>
          <w:sz w:val="24"/>
          <w:szCs w:val="24"/>
          <w:highlight w:val="none"/>
          <w:u w:val="single"/>
        </w:rPr>
        <w:t xml:space="preserve">亩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AE73F00">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第二条  </w:t>
      </w:r>
      <w:r>
        <w:rPr>
          <w:rFonts w:hint="eastAsia" w:ascii="宋体" w:hAnsi="宋体" w:eastAsia="宋体" w:cs="宋体"/>
          <w:color w:val="auto"/>
          <w:sz w:val="24"/>
          <w:szCs w:val="24"/>
          <w:highlight w:val="none"/>
        </w:rPr>
        <w:t>乙方提供服务的受益人为本物业的甲方和物业使用人，甲、乙双方均应对履行本协议承担相应的责任。</w:t>
      </w:r>
    </w:p>
    <w:p w14:paraId="025D966C">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第三条  </w:t>
      </w:r>
      <w:r>
        <w:rPr>
          <w:rFonts w:hint="eastAsia" w:ascii="宋体" w:hAnsi="宋体" w:eastAsia="宋体" w:cs="宋体"/>
          <w:color w:val="auto"/>
          <w:sz w:val="24"/>
          <w:szCs w:val="24"/>
          <w:highlight w:val="none"/>
        </w:rPr>
        <w:t>物业管理服务期限</w:t>
      </w:r>
    </w:p>
    <w:p w14:paraId="2AD6ED18">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合同期限为1年，从 </w:t>
      </w:r>
      <w:r>
        <w:rPr>
          <w:rFonts w:hint="eastAsia" w:ascii="宋体" w:hAnsi="宋体" w:eastAsia="宋体" w:cs="宋体"/>
          <w:color w:val="auto"/>
          <w:sz w:val="24"/>
          <w:szCs w:val="24"/>
          <w:highlight w:val="none"/>
          <w:lang w:val="en-US" w:eastAsia="zh-CN"/>
        </w:rPr>
        <w:t xml:space="preserve">202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lang w:val="en-US" w:eastAsia="zh-CN"/>
        </w:rPr>
        <w:t xml:space="preserve">202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日止。采用“1+1”模式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一年合同期满后由甲方对乙方服务质量进行考核，考核合格后，经双方同意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合同承包期限可顺延1年。</w:t>
      </w:r>
    </w:p>
    <w:p w14:paraId="3A823039">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管理服务期满后乙方不再继续管理服务或乙方因任何原因提前解除合同的，考虑到停车区的连续性和影响力，甲方有权要求乙方依据本合同约定继续管理服务一段时间（最长6个月），直至新的单位进场。</w:t>
      </w:r>
    </w:p>
    <w:p w14:paraId="7C72F463">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第二章物业管理服务事项</w:t>
      </w:r>
    </w:p>
    <w:p w14:paraId="3BBA4C38">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第四条  </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内公共卫生间、停车场和大厅（包括办公室、会议室、屋面下水沟、广场下水沟、绿化带内各种垃圾等）的清洁、清扫、除尘、公共（室内外全部）消防设施、设备的日常管理、清洁等并做好相应记录，确保正常工作。</w:t>
      </w:r>
    </w:p>
    <w:p w14:paraId="4CCB0D69">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第五条  </w:t>
      </w:r>
      <w:r>
        <w:rPr>
          <w:rFonts w:hint="eastAsia" w:ascii="宋体" w:hAnsi="宋体" w:eastAsia="宋体" w:cs="宋体"/>
          <w:color w:val="auto"/>
          <w:sz w:val="24"/>
          <w:szCs w:val="24"/>
          <w:highlight w:val="none"/>
        </w:rPr>
        <w:t>维持公共秩序，停车广场的交通与车辆停放秩序，疏导车辆、维护秩序。维持公共卫生，重大节假日或特殊任务期间加派人员。</w:t>
      </w:r>
    </w:p>
    <w:p w14:paraId="2E38C9A6">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第六条  </w:t>
      </w:r>
      <w:r>
        <w:rPr>
          <w:rFonts w:hint="eastAsia" w:ascii="宋体" w:hAnsi="宋体" w:eastAsia="宋体" w:cs="宋体"/>
          <w:color w:val="auto"/>
          <w:sz w:val="24"/>
          <w:szCs w:val="24"/>
          <w:highlight w:val="none"/>
        </w:rPr>
        <w:t>全天候值守（双向</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停车场内场、外场均有现场保安管理），夜间巡逻并巡更、门岗、内部通道执勤、广场车辆引导、危化品车辆登记和统计、车流量统计、各类突发事件的应急处置，及时发现停车广场公共设施和路产的人为损坏情况并上报。</w:t>
      </w:r>
    </w:p>
    <w:p w14:paraId="679846BF">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第七条  </w:t>
      </w:r>
      <w:r>
        <w:rPr>
          <w:rFonts w:hint="eastAsia" w:ascii="宋体" w:hAnsi="宋体" w:eastAsia="宋体" w:cs="宋体"/>
          <w:color w:val="auto"/>
          <w:sz w:val="24"/>
          <w:szCs w:val="24"/>
          <w:highlight w:val="none"/>
        </w:rPr>
        <w:t>对司乘人员违反物业管理制度的行为，根据情节轻重，采取批评、规劝、警告、制止、向甲方反映、向公安、巡警报警等措施。乙方保安管理人员必须在现场处理或配合相关部门进行处理，直到各类隐患消除为止。</w:t>
      </w:r>
    </w:p>
    <w:p w14:paraId="0E8D86DF">
      <w:pPr>
        <w:shd w:val="clear" w:color="auto" w:fill="auto"/>
        <w:spacing w:line="440" w:lineRule="exact"/>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sz w:val="24"/>
          <w:szCs w:val="24"/>
          <w:highlight w:val="none"/>
        </w:rPr>
        <w:t xml:space="preserve">第八条  </w:t>
      </w:r>
      <w:r>
        <w:rPr>
          <w:rFonts w:hint="eastAsia" w:ascii="宋体" w:hAnsi="宋体" w:eastAsia="宋体" w:cs="宋体"/>
          <w:b w:val="0"/>
          <w:color w:val="auto"/>
          <w:sz w:val="24"/>
          <w:szCs w:val="24"/>
          <w:highlight w:val="none"/>
        </w:rPr>
        <w:t>乙方派遣的物业人员符合甲方要求，</w:t>
      </w:r>
      <w:r>
        <w:rPr>
          <w:rFonts w:hint="eastAsia" w:ascii="宋体" w:hAnsi="宋体" w:eastAsia="宋体" w:cs="宋体"/>
          <w:color w:val="auto"/>
          <w:sz w:val="24"/>
          <w:szCs w:val="24"/>
          <w:highlight w:val="none"/>
        </w:rPr>
        <w:t>具体岗位详见合同附件三管理要求。乙方派遣物业人员人数共计</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人，各岗位排班须满足现场要求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具体人员岗位安排如下：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435"/>
        <w:gridCol w:w="2623"/>
        <w:gridCol w:w="2449"/>
      </w:tblGrid>
      <w:tr w14:paraId="6418C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803" w:type="dxa"/>
            <w:noWrap w:val="0"/>
            <w:vAlign w:val="center"/>
          </w:tcPr>
          <w:p w14:paraId="19A122A7">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435" w:type="dxa"/>
            <w:noWrap w:val="0"/>
            <w:vAlign w:val="center"/>
          </w:tcPr>
          <w:p w14:paraId="532BB3B9">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服务人员岗位名称</w:t>
            </w:r>
          </w:p>
        </w:tc>
        <w:tc>
          <w:tcPr>
            <w:tcW w:w="2623" w:type="dxa"/>
            <w:noWrap w:val="0"/>
            <w:vAlign w:val="center"/>
          </w:tcPr>
          <w:p w14:paraId="2064E063">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rPr>
              <w:t>数</w:t>
            </w:r>
          </w:p>
        </w:tc>
        <w:tc>
          <w:tcPr>
            <w:tcW w:w="2449" w:type="dxa"/>
            <w:noWrap w:val="0"/>
            <w:vAlign w:val="center"/>
          </w:tcPr>
          <w:p w14:paraId="3841BE05">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66BA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3" w:type="dxa"/>
            <w:noWrap w:val="0"/>
            <w:vAlign w:val="center"/>
          </w:tcPr>
          <w:p w14:paraId="7275C373">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435" w:type="dxa"/>
            <w:noWrap w:val="0"/>
            <w:vAlign w:val="center"/>
          </w:tcPr>
          <w:p w14:paraId="5CA308B1">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物业经理</w:t>
            </w:r>
          </w:p>
        </w:tc>
        <w:tc>
          <w:tcPr>
            <w:tcW w:w="2623" w:type="dxa"/>
            <w:noWrap w:val="0"/>
            <w:vAlign w:val="center"/>
          </w:tcPr>
          <w:p w14:paraId="58DAC5AB">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449" w:type="dxa"/>
            <w:noWrap w:val="0"/>
            <w:vAlign w:val="center"/>
          </w:tcPr>
          <w:p w14:paraId="7506BB4A">
            <w:pPr>
              <w:shd w:val="clear" w:color="auto" w:fill="auto"/>
              <w:adjustRightInd w:val="0"/>
              <w:snapToGrid w:val="0"/>
              <w:ind w:left="376" w:hanging="376" w:hangingChars="171"/>
              <w:rPr>
                <w:rFonts w:hint="eastAsia" w:ascii="宋体" w:hAnsi="宋体" w:eastAsia="宋体" w:cs="宋体"/>
                <w:color w:val="auto"/>
                <w:sz w:val="22"/>
                <w:szCs w:val="22"/>
                <w:highlight w:val="none"/>
              </w:rPr>
            </w:pPr>
          </w:p>
        </w:tc>
      </w:tr>
      <w:tr w14:paraId="72478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3" w:type="dxa"/>
            <w:noWrap w:val="0"/>
            <w:vAlign w:val="center"/>
          </w:tcPr>
          <w:p w14:paraId="39E6245D">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3435" w:type="dxa"/>
            <w:noWrap w:val="0"/>
            <w:vAlign w:val="center"/>
          </w:tcPr>
          <w:p w14:paraId="7E256494">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水电工</w:t>
            </w:r>
          </w:p>
        </w:tc>
        <w:tc>
          <w:tcPr>
            <w:tcW w:w="2623" w:type="dxa"/>
            <w:noWrap w:val="0"/>
            <w:vAlign w:val="center"/>
          </w:tcPr>
          <w:p w14:paraId="40C62D9B">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449" w:type="dxa"/>
            <w:noWrap w:val="0"/>
            <w:vAlign w:val="center"/>
          </w:tcPr>
          <w:p w14:paraId="5FCF26F6">
            <w:pPr>
              <w:shd w:val="clear" w:color="auto" w:fill="auto"/>
              <w:adjustRightInd w:val="0"/>
              <w:snapToGrid w:val="0"/>
              <w:ind w:left="376" w:hanging="376" w:hangingChars="171"/>
              <w:rPr>
                <w:rFonts w:hint="eastAsia" w:ascii="宋体" w:hAnsi="宋体" w:eastAsia="宋体" w:cs="宋体"/>
                <w:color w:val="auto"/>
                <w:sz w:val="22"/>
                <w:szCs w:val="22"/>
                <w:highlight w:val="none"/>
              </w:rPr>
            </w:pPr>
          </w:p>
        </w:tc>
      </w:tr>
      <w:tr w14:paraId="22A37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3" w:type="dxa"/>
            <w:noWrap w:val="0"/>
            <w:vAlign w:val="center"/>
          </w:tcPr>
          <w:p w14:paraId="4D25D6C6">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3435" w:type="dxa"/>
            <w:noWrap w:val="0"/>
            <w:vAlign w:val="center"/>
          </w:tcPr>
          <w:p w14:paraId="0F5DB082">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保安队长</w:t>
            </w:r>
          </w:p>
        </w:tc>
        <w:tc>
          <w:tcPr>
            <w:tcW w:w="2623" w:type="dxa"/>
            <w:noWrap w:val="0"/>
            <w:vAlign w:val="center"/>
          </w:tcPr>
          <w:p w14:paraId="64AF24C2">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449" w:type="dxa"/>
            <w:noWrap w:val="0"/>
            <w:vAlign w:val="center"/>
          </w:tcPr>
          <w:p w14:paraId="0C29CD1A">
            <w:pPr>
              <w:shd w:val="clear" w:color="auto" w:fill="auto"/>
              <w:adjustRightInd w:val="0"/>
              <w:snapToGrid w:val="0"/>
              <w:ind w:left="376" w:hanging="376" w:hangingChars="171"/>
              <w:rPr>
                <w:rFonts w:hint="eastAsia" w:ascii="宋体" w:hAnsi="宋体" w:eastAsia="宋体" w:cs="宋体"/>
                <w:color w:val="auto"/>
                <w:sz w:val="22"/>
                <w:szCs w:val="22"/>
                <w:highlight w:val="none"/>
              </w:rPr>
            </w:pPr>
          </w:p>
        </w:tc>
      </w:tr>
      <w:tr w14:paraId="63716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3" w:type="dxa"/>
            <w:noWrap w:val="0"/>
            <w:vAlign w:val="center"/>
          </w:tcPr>
          <w:p w14:paraId="653C1146">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3435" w:type="dxa"/>
            <w:noWrap w:val="0"/>
            <w:vAlign w:val="center"/>
          </w:tcPr>
          <w:p w14:paraId="4CD988C0">
            <w:pPr>
              <w:widowControl/>
              <w:shd w:val="clear" w:color="auto" w:fill="auto"/>
              <w:adjustRightInd w:val="0"/>
              <w:snapToGrid w:val="0"/>
              <w:ind w:left="376" w:hanging="376" w:hangingChars="171"/>
              <w:jc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保安</w:t>
            </w:r>
          </w:p>
        </w:tc>
        <w:tc>
          <w:tcPr>
            <w:tcW w:w="2623" w:type="dxa"/>
            <w:noWrap w:val="0"/>
            <w:vAlign w:val="center"/>
          </w:tcPr>
          <w:p w14:paraId="7BDB1839">
            <w:pPr>
              <w:shd w:val="clear" w:color="auto" w:fill="auto"/>
              <w:adjustRightInd w:val="0"/>
              <w:snapToGrid w:val="0"/>
              <w:ind w:left="376" w:hanging="376" w:hangingChars="171"/>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2449" w:type="dxa"/>
            <w:noWrap w:val="0"/>
            <w:vAlign w:val="center"/>
          </w:tcPr>
          <w:p w14:paraId="37DF9AED">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白班4人，中班3人，晚班3人</w:t>
            </w:r>
          </w:p>
        </w:tc>
      </w:tr>
      <w:tr w14:paraId="19422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3" w:type="dxa"/>
            <w:noWrap w:val="0"/>
            <w:vAlign w:val="center"/>
          </w:tcPr>
          <w:p w14:paraId="2F3ABDC1">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3435" w:type="dxa"/>
            <w:noWrap w:val="0"/>
            <w:vAlign w:val="center"/>
          </w:tcPr>
          <w:p w14:paraId="447BE7FC">
            <w:pPr>
              <w:widowControl/>
              <w:shd w:val="clear" w:color="auto" w:fill="auto"/>
              <w:adjustRightInd w:val="0"/>
              <w:snapToGrid w:val="0"/>
              <w:ind w:left="376" w:hanging="376" w:hangingChars="171"/>
              <w:jc w:val="center"/>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保洁</w:t>
            </w:r>
          </w:p>
        </w:tc>
        <w:tc>
          <w:tcPr>
            <w:tcW w:w="2623" w:type="dxa"/>
            <w:noWrap w:val="0"/>
            <w:vAlign w:val="center"/>
          </w:tcPr>
          <w:p w14:paraId="23A2D698">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2449" w:type="dxa"/>
            <w:noWrap w:val="0"/>
            <w:vAlign w:val="center"/>
          </w:tcPr>
          <w:p w14:paraId="25CFA650">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白班4人，中班2人，晚班2人</w:t>
            </w:r>
          </w:p>
        </w:tc>
      </w:tr>
      <w:tr w14:paraId="4242A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8" w:type="dxa"/>
            <w:gridSpan w:val="2"/>
            <w:noWrap w:val="0"/>
            <w:vAlign w:val="center"/>
          </w:tcPr>
          <w:p w14:paraId="0D8019AC">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w:t>
            </w:r>
          </w:p>
        </w:tc>
        <w:tc>
          <w:tcPr>
            <w:tcW w:w="2623" w:type="dxa"/>
            <w:noWrap w:val="0"/>
            <w:vAlign w:val="center"/>
          </w:tcPr>
          <w:p w14:paraId="11E5BB5E">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1人</w:t>
            </w:r>
          </w:p>
        </w:tc>
        <w:tc>
          <w:tcPr>
            <w:tcW w:w="2449" w:type="dxa"/>
            <w:noWrap w:val="0"/>
            <w:vAlign w:val="center"/>
          </w:tcPr>
          <w:p w14:paraId="097A0844">
            <w:pPr>
              <w:shd w:val="clear" w:color="auto" w:fill="auto"/>
              <w:adjustRightInd w:val="0"/>
              <w:snapToGrid w:val="0"/>
              <w:ind w:left="376" w:hanging="376" w:hangingChars="171"/>
              <w:jc w:val="center"/>
              <w:rPr>
                <w:rFonts w:hint="eastAsia" w:ascii="宋体" w:hAnsi="宋体" w:eastAsia="宋体" w:cs="宋体"/>
                <w:color w:val="auto"/>
                <w:sz w:val="22"/>
                <w:szCs w:val="22"/>
                <w:highlight w:val="none"/>
              </w:rPr>
            </w:pPr>
          </w:p>
        </w:tc>
      </w:tr>
    </w:tbl>
    <w:p w14:paraId="300BD702">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水电工必须持证上岗（国家职业资格证书），严格按作业证许可范围分别从事各自岗位工作。</w:t>
      </w:r>
    </w:p>
    <w:p w14:paraId="53E36114">
      <w:pPr>
        <w:spacing w:line="240" w:lineRule="auto"/>
        <w:ind w:firstLine="482" w:firstLineChars="200"/>
        <w:rPr>
          <w:rFonts w:hint="eastAsia" w:ascii="宋体" w:hAnsi="宋体" w:eastAsia="宋体" w:cs="宋体"/>
          <w:b/>
          <w:bCs/>
          <w:color w:val="auto"/>
          <w:sz w:val="24"/>
          <w:szCs w:val="24"/>
          <w:highlight w:val="none"/>
        </w:rPr>
      </w:pPr>
    </w:p>
    <w:p w14:paraId="6DB11031">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乙方派驻人员采用24小时不间断对</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进行各项服务。就餐时间及就餐地点</w:t>
      </w:r>
      <w:r>
        <w:rPr>
          <w:rFonts w:hint="eastAsia" w:ascii="宋体" w:hAnsi="宋体" w:eastAsia="宋体" w:cs="宋体"/>
          <w:color w:val="auto"/>
          <w:sz w:val="24"/>
          <w:szCs w:val="24"/>
          <w:highlight w:val="none"/>
          <w:lang w:val="en-US" w:eastAsia="zh-CN"/>
        </w:rPr>
        <w:t>由甲方指定，乙方自行自费合理安排</w:t>
      </w:r>
      <w:r>
        <w:rPr>
          <w:rFonts w:hint="eastAsia" w:ascii="宋体" w:hAnsi="宋体" w:eastAsia="宋体" w:cs="宋体"/>
          <w:color w:val="auto"/>
          <w:sz w:val="24"/>
          <w:szCs w:val="24"/>
          <w:highlight w:val="none"/>
        </w:rPr>
        <w:t>。</w:t>
      </w:r>
    </w:p>
    <w:p w14:paraId="6154F838">
      <w:pPr>
        <w:spacing w:line="240" w:lineRule="auto"/>
        <w:ind w:left="0" w:leftChars="0"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第十条  </w:t>
      </w:r>
      <w:r>
        <w:rPr>
          <w:rFonts w:hint="eastAsia" w:ascii="宋体" w:hAnsi="宋体" w:eastAsia="宋体" w:cs="宋体"/>
          <w:b/>
          <w:bCs w:val="0"/>
          <w:color w:val="auto"/>
          <w:sz w:val="24"/>
          <w:szCs w:val="24"/>
          <w:highlight w:val="none"/>
        </w:rPr>
        <w:t>物业管理服务</w:t>
      </w:r>
      <w:r>
        <w:rPr>
          <w:rFonts w:hint="eastAsia" w:ascii="宋体" w:hAnsi="宋体" w:eastAsia="宋体" w:cs="宋体"/>
          <w:b/>
          <w:bCs w:val="0"/>
          <w:color w:val="auto"/>
          <w:sz w:val="24"/>
          <w:szCs w:val="24"/>
          <w:highlight w:val="none"/>
          <w:lang w:val="en-US" w:eastAsia="zh-CN"/>
        </w:rPr>
        <w:t>补充条款</w:t>
      </w:r>
    </w:p>
    <w:p w14:paraId="57436053">
      <w:pPr>
        <w:spacing w:line="240" w:lineRule="auto"/>
        <w:ind w:left="0" w:leftChars="0" w:firstLine="482" w:firstLineChars="200"/>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(一)其他增值服务内容条款：</w:t>
      </w:r>
    </w:p>
    <w:p w14:paraId="1AD58C5D">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1、每年专业清洗广场地面提供6次；</w:t>
      </w:r>
    </w:p>
    <w:p w14:paraId="5D60A229">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2、每年专业清洗空调2次；</w:t>
      </w:r>
    </w:p>
    <w:p w14:paraId="1AAF50D0">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3、每年负责化粪池清理清运2次；</w:t>
      </w:r>
    </w:p>
    <w:p w14:paraId="1D20E9CE">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4、每年负责生活水箱清洗2次。</w:t>
      </w:r>
    </w:p>
    <w:p w14:paraId="2B366243">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(以上服务承诺需提供具体方案)</w:t>
      </w:r>
    </w:p>
    <w:p w14:paraId="500260A1">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注:乙方投标中已承诺的增值服务，如在服务期内乙方未按相关承诺实施的，甲方有权将相关服务另行委托第三方实施，相关费用按实际支付情况在结算季度款项时予以扣除。</w:t>
      </w:r>
    </w:p>
    <w:p w14:paraId="023A2D84">
      <w:pPr>
        <w:spacing w:line="240" w:lineRule="auto"/>
        <w:ind w:left="0" w:leftChars="0" w:firstLine="482" w:firstLineChars="200"/>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(二)其他增值服务设备条款:</w:t>
      </w:r>
    </w:p>
    <w:p w14:paraId="4A6E83E0">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1、四轮双排巡逻车1辆(基本参数不小于电机功率&gt;4000W，载客人数4-5人)；</w:t>
      </w:r>
    </w:p>
    <w:p w14:paraId="5E264ED6">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2、专业保洁垃圾清运车(&gt;2辆)；</w:t>
      </w:r>
    </w:p>
    <w:p w14:paraId="2A4CE537">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3、其他新型智能化清洁设备。</w:t>
      </w:r>
    </w:p>
    <w:p w14:paraId="161C2E9B">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乙方投标中已承诺的提供的增值设备，如在服务期内乙方未按相关承诺提供的或合同签订后1个月内注:不能到位的，甲方有权另行购置或租赁，相关费用由乙方承担，并在季度款项时予以扣除。</w:t>
      </w:r>
      <w:r>
        <w:rPr>
          <w:rFonts w:hint="eastAsia" w:ascii="宋体" w:hAnsi="宋体" w:eastAsia="宋体" w:cs="宋体"/>
          <w:color w:val="auto"/>
          <w:sz w:val="24"/>
          <w:szCs w:val="24"/>
          <w:highlight w:val="none"/>
          <w:lang w:val="en-US" w:eastAsia="zh-CN"/>
        </w:rPr>
        <w:t>以上设备日常维养及设备耗材由乙方自行承担。</w:t>
      </w:r>
    </w:p>
    <w:p w14:paraId="0BB76A0E">
      <w:pPr>
        <w:ind w:firstLine="482" w:firstLineChars="200"/>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（三）餐饮服务</w:t>
      </w:r>
    </w:p>
    <w:p w14:paraId="2825385A">
      <w:pPr>
        <w:ind w:left="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1、甲方委托乙方为服务区甲方员工提供餐饮服务。乙方现有食堂须向甲方员工正常开放。乙方应参照甲方伙食费标准为甲方提供优质餐饮服务，并提供正规发票给甲方，乙方不得拒绝。</w:t>
      </w:r>
    </w:p>
    <w:p w14:paraId="25260A18">
      <w:pPr>
        <w:ind w:left="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2、乙方应严格执行《中华人民共和国食品安全法》、《餐饮服务食品安全操作规范》及‘甲方用餐卫生管理规定’等法律法规，确保饭菜卫生、健康、安全、营养。</w:t>
      </w:r>
    </w:p>
    <w:p w14:paraId="4A887109">
      <w:pPr>
        <w:ind w:left="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3、因乙方原因造成甲方员工食物中毒事件，由乙方承担全部责任。</w:t>
      </w:r>
    </w:p>
    <w:p w14:paraId="564C31BD">
      <w:pPr>
        <w:ind w:left="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4、乙方所有服务人员工作餐由乙方负责。</w:t>
      </w:r>
    </w:p>
    <w:p w14:paraId="551F3A11">
      <w:pPr>
        <w:ind w:left="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5、乙方须做好所有厨房设备设施的正常使用、保养及维护工作，如有损坏乙方应进行及时维修或更换，由此产生的费用由乙方负责。</w:t>
      </w:r>
    </w:p>
    <w:p w14:paraId="19C05E8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6、售服务及验收标准：依据国家有关标准</w:t>
      </w:r>
      <w:r>
        <w:rPr>
          <w:rFonts w:hint="eastAsia" w:ascii="宋体" w:hAnsi="宋体" w:eastAsia="宋体" w:cs="宋体"/>
          <w:color w:val="auto"/>
          <w:sz w:val="24"/>
          <w:szCs w:val="24"/>
          <w:highlight w:val="none"/>
          <w:lang w:val="en-US" w:eastAsia="zh-CN"/>
        </w:rPr>
        <w:t>、合同及相关附件要求进行验收。</w:t>
      </w:r>
    </w:p>
    <w:p w14:paraId="67C7E97E">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第三章双方权利义务</w:t>
      </w:r>
    </w:p>
    <w:p w14:paraId="6FB67A11">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甲方权利义务</w:t>
      </w:r>
    </w:p>
    <w:p w14:paraId="47638C03">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1.代表和维护产权人、使用人的合法权益；</w:t>
      </w:r>
    </w:p>
    <w:p w14:paraId="5B2FA5D6">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2.审定乙方拟定的物业管理制度，及乙方所聘用的人员；</w:t>
      </w:r>
    </w:p>
    <w:p w14:paraId="5EC46DAA">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3.检查监督乙方管理工作的实施及制度的执行情况；</w:t>
      </w:r>
    </w:p>
    <w:p w14:paraId="01545B76">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4.审定乙方提出的物业管理服务年度计划；</w:t>
      </w:r>
    </w:p>
    <w:p w14:paraId="1D2F45F1">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6.协助乙方作好物业管理工作和宣传教育、文化活动；</w:t>
      </w:r>
    </w:p>
    <w:p w14:paraId="4556ECFC">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7.向乙方无偿、及时提供必要的办公用房、保安、保洁工作所用的设备器材、清洁用品、用具等，同时甲方负责承担物业管理办公所实施的水电费用；</w:t>
      </w:r>
    </w:p>
    <w:p w14:paraId="5A4561DF">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8.向乙方无偿提供必要的物料储藏室、员工作息间，其所有权归甲方所有；</w:t>
      </w:r>
    </w:p>
    <w:p w14:paraId="600DC9DA">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9.及时足额向乙方支付相关服务费用。</w:t>
      </w:r>
    </w:p>
    <w:p w14:paraId="06119571">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乙方权利义务</w:t>
      </w:r>
    </w:p>
    <w:p w14:paraId="7DA3B74D">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1.根据有关法律法规、本协议及协议附件的约定，制订物业管理制度；</w:t>
      </w:r>
    </w:p>
    <w:p w14:paraId="6AF4FD52">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2.对司乘人员违反法规、规章的行为进行规劝和制止，并报甲方备案；</w:t>
      </w:r>
    </w:p>
    <w:p w14:paraId="1EE575D0">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3.未经甲方书面同意，乙方不得将本物业的管理责任转让给第三方，未经甲方同意不允许乙方分包或转包甲方服务管理事宜；</w:t>
      </w:r>
    </w:p>
    <w:p w14:paraId="485AEFEC">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4.在物业日常管理过程中对超越职权无法解决的事项或物业设施需要维修、保养以及为保证正常、安全运行所需要更换的设备，要及时向甲方反映，费用由甲方承担（包括消防设施、设备）；</w:t>
      </w:r>
    </w:p>
    <w:p w14:paraId="66460EFD">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5.负责编制物业管理年度管理计划；</w:t>
      </w:r>
    </w:p>
    <w:p w14:paraId="23BEC184">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6.对本物业的公用设施不得擅自占用和改变使用功能；</w:t>
      </w:r>
    </w:p>
    <w:p w14:paraId="25549713">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7.按每月向甲方提出设备器材（清单另列附件）、清洁用品、用具等需求（领用）计划；</w:t>
      </w:r>
    </w:p>
    <w:p w14:paraId="52D6FFA3">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甲方需委托其他管理服务事项时，乙方应积极配合；</w:t>
      </w:r>
    </w:p>
    <w:p w14:paraId="4AA490AC">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9.合同终止时，乙方必须向甲方移交物业管理的全部档案资料；</w:t>
      </w:r>
    </w:p>
    <w:p w14:paraId="5458BCD7">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10.及时足额向甲方收取相关服务费用；</w:t>
      </w:r>
    </w:p>
    <w:p w14:paraId="274855C3">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11.乙方的物业管理人员要有符合国家规定的上岗证、健康证、保安员需持有保安员证，要严格政审，没有刑事犯罪记录，并报甲方备案。对</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须配置物业项目工作对接人，项目工作对接人聘用要经甲方审定，国家法定假日须在现场值守。对物业聘用人员，必须向甲方提供身份证、暂住证复印件，并每月向甲方提供人员花名册；</w:t>
      </w:r>
    </w:p>
    <w:p w14:paraId="40145224">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乙方须指定具有项目服务资深经验的公司级管理人员，定期（1个</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rPr>
        <w:t>至少4次）到服务现场进行售后服务，包括不仅限于如下工作：</w:t>
      </w:r>
    </w:p>
    <w:p w14:paraId="3D075937">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了解甲方对乙方服务人员、服务工作的评价，及时解决或协调处理乙方服务过程中存在问题，监督乙方服务团队按甲方要求进行须整改，并及时将整改结果向甲方汇报；</w:t>
      </w:r>
    </w:p>
    <w:p w14:paraId="2CD6785B">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定期主动检查、指导乙方服务团队，对相关岗位采取包括不仅限于集体培训和个别培训的方式，协助提高服务水平，并及时将培训、教育情况向甲方汇报；</w:t>
      </w:r>
    </w:p>
    <w:p w14:paraId="29DAC5D3">
      <w:pPr>
        <w:spacing w:line="24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乙方工作人员因管理不当造成人员或</w:t>
      </w:r>
      <w:r>
        <w:rPr>
          <w:rFonts w:hint="eastAsia" w:ascii="宋体" w:hAnsi="宋体" w:eastAsia="宋体" w:cs="宋体"/>
          <w:b w:val="0"/>
          <w:bCs w:val="0"/>
          <w:color w:val="auto"/>
          <w:sz w:val="24"/>
          <w:szCs w:val="24"/>
          <w:highlight w:val="none"/>
          <w:lang w:eastAsia="zh-CN"/>
        </w:rPr>
        <w:t>停车区</w:t>
      </w:r>
      <w:r>
        <w:rPr>
          <w:rFonts w:hint="eastAsia" w:ascii="宋体" w:hAnsi="宋体" w:eastAsia="宋体" w:cs="宋体"/>
          <w:b w:val="0"/>
          <w:bCs w:val="0"/>
          <w:color w:val="auto"/>
          <w:sz w:val="24"/>
          <w:szCs w:val="24"/>
          <w:highlight w:val="none"/>
        </w:rPr>
        <w:t>财产伤害或损失的，由乙方承担责任、并负责赔偿。</w:t>
      </w:r>
    </w:p>
    <w:p w14:paraId="6D5FBF16">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13.乙方的物业管理人员要听从甲方调动指挥；</w:t>
      </w:r>
    </w:p>
    <w:p w14:paraId="24D9BAE0">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14．甲方对乙方员工的工作行为进行监督，如发现乙方员工有违反规定和制度行为，甲方将要求其整改，乙方员工态度恶劣拒不改正的，乙方必须予以</w:t>
      </w:r>
      <w:r>
        <w:rPr>
          <w:rFonts w:hint="eastAsia" w:ascii="宋体" w:hAnsi="宋体" w:eastAsia="宋体" w:cs="宋体"/>
          <w:color w:val="auto"/>
          <w:sz w:val="24"/>
          <w:szCs w:val="24"/>
          <w:highlight w:val="none"/>
          <w:lang w:val="en-US" w:eastAsia="zh-CN"/>
        </w:rPr>
        <w:t>更换人员</w:t>
      </w:r>
      <w:r>
        <w:rPr>
          <w:rFonts w:hint="eastAsia" w:ascii="宋体" w:hAnsi="宋体" w:eastAsia="宋体" w:cs="宋体"/>
          <w:color w:val="auto"/>
          <w:sz w:val="24"/>
          <w:szCs w:val="24"/>
          <w:highlight w:val="none"/>
        </w:rPr>
        <w:t>；</w:t>
      </w:r>
    </w:p>
    <w:p w14:paraId="5E650573">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乙方负责员工招聘、录用、管理工作，保持员工稳定和到位人数，乙方做好员工岗前培训且做好台帐，并按国家规定办法办好劳动保险、人身意外险手续，确保乙方员工工资和福利及时发放到位。如因乙方用工原因生产劳务纠纷，乙方自行及时妥善处理，甲方不承担任何法律责任和经济责任，不能影响</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正常运行。</w:t>
      </w:r>
    </w:p>
    <w:p w14:paraId="79F8288E">
      <w:pPr>
        <w:spacing w:line="24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除此之外，</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lang w:val="en-US" w:eastAsia="zh-CN"/>
        </w:rPr>
        <w:t>还应为所有服务员工购买雇主责任险</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每人</w:t>
      </w:r>
      <w:r>
        <w:rPr>
          <w:rFonts w:hint="eastAsia" w:ascii="宋体" w:hAnsi="宋体" w:eastAsia="宋体" w:cs="宋体"/>
          <w:b w:val="0"/>
          <w:bCs w:val="0"/>
          <w:color w:val="auto"/>
          <w:sz w:val="24"/>
          <w:szCs w:val="24"/>
          <w:highlight w:val="none"/>
        </w:rPr>
        <w:t>保额不低于</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0万）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对于服务人员服务期限产生的意外伤害、职业病等引起的赔偿，乙方自行及时妥善处理，甲方不承担任何法律责任和经济责任，且不能影响服务区正常运行。</w:t>
      </w:r>
    </w:p>
    <w:p w14:paraId="61946CA5">
      <w:pPr>
        <w:spacing w:line="24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16.乙方提供的物业人员服务质量不得低于附件三规定的量化标准。</w:t>
      </w:r>
    </w:p>
    <w:p w14:paraId="050D25CB">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17．乙方派驻停车区员工就餐</w:t>
      </w:r>
      <w:r>
        <w:rPr>
          <w:rFonts w:hint="eastAsia" w:ascii="宋体" w:hAnsi="宋体" w:eastAsia="宋体" w:cs="宋体"/>
          <w:color w:val="auto"/>
          <w:sz w:val="24"/>
          <w:szCs w:val="24"/>
          <w:highlight w:val="none"/>
          <w:lang w:val="en-US" w:eastAsia="zh-CN"/>
        </w:rPr>
        <w:t>地点</w:t>
      </w:r>
      <w:r>
        <w:rPr>
          <w:rFonts w:hint="eastAsia" w:ascii="宋体" w:hAnsi="宋体" w:eastAsia="宋体" w:cs="宋体"/>
          <w:color w:val="auto"/>
          <w:sz w:val="24"/>
          <w:szCs w:val="24"/>
          <w:highlight w:val="none"/>
        </w:rPr>
        <w:t>由甲方提供指定地点，乙方就餐工作人员需遵守停车区的相关管理规章制度</w:t>
      </w:r>
      <w:r>
        <w:rPr>
          <w:rFonts w:hint="eastAsia" w:ascii="宋体" w:hAnsi="宋体" w:eastAsia="宋体" w:cs="宋体"/>
          <w:color w:val="auto"/>
          <w:sz w:val="24"/>
          <w:szCs w:val="24"/>
          <w:highlight w:val="none"/>
          <w:lang w:eastAsia="zh-CN"/>
        </w:rPr>
        <w:t>。</w:t>
      </w:r>
    </w:p>
    <w:p w14:paraId="5E2C323A">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乙方需派驻专职水电工，要求人员电气证件齐全，专业操作能力满足日常和突发工作需要，可满足24小时服务要求。</w:t>
      </w:r>
    </w:p>
    <w:p w14:paraId="6DEE6BFA">
      <w:pPr>
        <w:widowControl/>
        <w:numPr>
          <w:ilvl w:val="-1"/>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19.乙方负责甲方停车区监控室远程监控管理，确保远程监控符合相关安全规范要求。</w:t>
      </w:r>
    </w:p>
    <w:p w14:paraId="1CB98F51">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20.乙方必须对停车区发放的整改通知书，做出有效整改，并按整改通知书限定的时间进行书面反馈，未在限定时间内提交整改反馈单的视为整改无效，当月不给予结算。</w:t>
      </w:r>
    </w:p>
    <w:p w14:paraId="11303C39">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21.负责停车区内日常产生的垃圾清运工作，并将垃圾运送至垃圾中转站内处理，因垃圾清运不规范产生的纠纷由乙方负责，产生的相关费用由乙方承担；乙方负责甲方停车区环境卫生消杀工作，聘请专业第三方消杀公司定期做好消杀工作，第三方消杀工作选聘由甲方认可，产生的相关费用由乙方承担。</w:t>
      </w:r>
    </w:p>
    <w:p w14:paraId="170CCD15">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22.因乙方自身管理不善出现双保人员集体罢工，造成现场物业服务工作失控，停车区形象在社会上造成严重恶劣影响的，当月考核视为零分。情节严重的甲方有权单方面接解除合同。</w:t>
      </w:r>
    </w:p>
    <w:p w14:paraId="2C34306C">
      <w:pPr>
        <w:widowControl/>
        <w:numPr>
          <w:ilvl w:val="0"/>
          <w:numId w:val="0"/>
        </w:numPr>
        <w:wordWrap/>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23.乙方进场前需先提交停车区双保人员和其他工种人员的日常考核管理办法细则，每月对优秀的人员进行定量的现金奖励，对工作表现差，并多次违规的人员进行现金扣罚。并报与停车区确认备案。</w:t>
      </w:r>
    </w:p>
    <w:p w14:paraId="0B6FC78C">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24.乙方每月组织各技术职能部门对停车区整个物业项目的所有人员，进行业务指导。对现场设备设施进行安全检查和检测，并做出纸质整改意见报停车区留档备案。</w:t>
      </w:r>
    </w:p>
    <w:p w14:paraId="29126E19">
      <w:pPr>
        <w:widowControl/>
        <w:numPr>
          <w:ilvl w:val="0"/>
          <w:numId w:val="0"/>
        </w:numPr>
        <w:ind w:left="0" w:firstLine="480" w:firstLineChars="200"/>
        <w:jc w:val="left"/>
        <w:rPr>
          <w:rFonts w:hint="eastAsia" w:ascii="宋体" w:hAnsi="宋体" w:eastAsia="宋体" w:cs="宋体"/>
          <w:color w:val="0000FF"/>
          <w:highlight w:val="none"/>
          <w:lang w:val="en-US" w:eastAsia="zh-CN"/>
        </w:rPr>
      </w:pPr>
      <w:r>
        <w:rPr>
          <w:rFonts w:hint="eastAsia" w:ascii="宋体" w:hAnsi="宋体" w:eastAsia="宋体" w:cs="宋体"/>
          <w:color w:val="0000FF"/>
          <w:sz w:val="24"/>
          <w:szCs w:val="24"/>
          <w:highlight w:val="none"/>
          <w:u w:val="none"/>
          <w:lang w:val="en-US" w:eastAsia="zh-CN"/>
        </w:rPr>
        <w:t>25.甲方在书面中要求乙方对合同义务范围内的整改事项进行整改，若乙方未能在甲方规定的时间内将整改工作完成，甲方有权自行或聘请第三方公司先行服务，相关费用将直接从合同款项中抵扣，乙方必须无条件配合。</w:t>
      </w:r>
    </w:p>
    <w:p w14:paraId="0B4ADD4E">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第四章物业管理费用</w:t>
      </w:r>
    </w:p>
    <w:p w14:paraId="2EDA6DB9">
      <w:pPr>
        <w:autoSpaceDE w:val="0"/>
        <w:autoSpaceDN w:val="0"/>
        <w:adjustRightInd w:val="0"/>
        <w:spacing w:line="24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rPr>
        <w:t>条物业管理费用及支付方式</w:t>
      </w:r>
    </w:p>
    <w:p w14:paraId="46B51E03">
      <w:pPr>
        <w:spacing w:line="24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1．物业管理壹年期费用总额为</w:t>
      </w:r>
      <w:r>
        <w:rPr>
          <w:rFonts w:hint="eastAsia" w:ascii="宋体" w:hAnsi="宋体" w:eastAsia="宋体" w:cs="宋体"/>
          <w:b/>
          <w:color w:val="auto"/>
          <w:sz w:val="24"/>
          <w:szCs w:val="24"/>
          <w:highlight w:val="non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rPr>
        <w:t>元整</w:t>
      </w:r>
      <w:r>
        <w:rPr>
          <w:rFonts w:hint="eastAsia" w:ascii="宋体" w:hAnsi="宋体" w:eastAsia="宋体" w:cs="宋体"/>
          <w:color w:val="auto"/>
          <w:kern w:val="0"/>
          <w:sz w:val="24"/>
          <w:szCs w:val="24"/>
          <w:highlight w:val="none"/>
        </w:rPr>
        <w:t>，含税。</w:t>
      </w:r>
      <w:r>
        <w:rPr>
          <w:rFonts w:hint="eastAsia" w:ascii="宋体" w:hAnsi="宋体" w:eastAsia="宋体" w:cs="宋体"/>
          <w:color w:val="auto"/>
          <w:sz w:val="24"/>
          <w:szCs w:val="24"/>
          <w:highlight w:val="none"/>
          <w:u w:val="single"/>
        </w:rPr>
        <w:t>（临时增加人员费用</w:t>
      </w:r>
      <w:r>
        <w:rPr>
          <w:rFonts w:hint="eastAsia" w:ascii="宋体" w:hAnsi="宋体" w:eastAsia="宋体" w:cs="宋体"/>
          <w:strike w:val="0"/>
          <w:color w:val="auto"/>
          <w:sz w:val="24"/>
          <w:szCs w:val="24"/>
          <w:highlight w:val="none"/>
          <w:u w:val="single"/>
        </w:rPr>
        <w:t>、单价金额在50元以下</w:t>
      </w:r>
      <w:r>
        <w:rPr>
          <w:rFonts w:hint="eastAsia" w:ascii="宋体" w:hAnsi="宋体" w:eastAsia="宋体" w:cs="宋体"/>
          <w:strike w:val="0"/>
          <w:color w:val="auto"/>
          <w:sz w:val="24"/>
          <w:szCs w:val="24"/>
          <w:highlight w:val="none"/>
          <w:u w:val="single"/>
          <w:lang w:val="en-US" w:eastAsia="zh-CN"/>
        </w:rPr>
        <w:t>零星</w:t>
      </w:r>
      <w:r>
        <w:rPr>
          <w:rFonts w:hint="eastAsia" w:ascii="宋体" w:hAnsi="宋体" w:eastAsia="宋体" w:cs="宋体"/>
          <w:strike w:val="0"/>
          <w:color w:val="auto"/>
          <w:sz w:val="24"/>
          <w:szCs w:val="24"/>
          <w:highlight w:val="none"/>
          <w:u w:val="single"/>
        </w:rPr>
        <w:t>维修费用</w:t>
      </w:r>
      <w:r>
        <w:rPr>
          <w:rFonts w:hint="eastAsia" w:ascii="宋体" w:hAnsi="宋体" w:eastAsia="宋体" w:cs="宋体"/>
          <w:color w:val="auto"/>
          <w:sz w:val="24"/>
          <w:szCs w:val="24"/>
          <w:highlight w:val="none"/>
          <w:u w:val="single"/>
        </w:rPr>
        <w:t>每季按实结</w:t>
      </w:r>
      <w:r>
        <w:rPr>
          <w:rFonts w:hint="eastAsia" w:ascii="宋体" w:hAnsi="宋体" w:eastAsia="宋体" w:cs="宋体"/>
          <w:color w:val="auto"/>
          <w:sz w:val="24"/>
          <w:szCs w:val="24"/>
          <w:highlight w:val="none"/>
          <w:u w:val="single"/>
          <w:lang w:val="en-US" w:eastAsia="zh-CN"/>
        </w:rPr>
        <w:t>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员工奖励金由甲方人根据考核情况并结合员工表现每季按实结算，相关费用需由乙方先行垫付，足额发放至对应员工，不得扣减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w:t>
      </w:r>
    </w:p>
    <w:p w14:paraId="509C776B">
      <w:pPr>
        <w:spacing w:line="24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该价格已包括在</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域内提供</w:t>
      </w:r>
      <w:r>
        <w:rPr>
          <w:rFonts w:hint="eastAsia" w:ascii="宋体" w:hAnsi="宋体" w:eastAsia="宋体" w:cs="宋体"/>
          <w:color w:val="auto"/>
          <w:sz w:val="24"/>
          <w:szCs w:val="24"/>
          <w:highlight w:val="none"/>
          <w:lang w:val="en-US" w:eastAsia="zh-CN"/>
        </w:rPr>
        <w:t>秩序维护、安保管理、卫生管理、</w:t>
      </w:r>
      <w:r>
        <w:rPr>
          <w:rFonts w:hint="eastAsia" w:ascii="宋体" w:hAnsi="宋体" w:eastAsia="宋体" w:cs="宋体"/>
          <w:color w:val="auto"/>
          <w:sz w:val="24"/>
          <w:szCs w:val="24"/>
          <w:highlight w:val="none"/>
        </w:rPr>
        <w:t>设备维运</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及其他所有服务所需的人员工资（基本工资、辅助工资、工资性补贴、</w:t>
      </w:r>
      <w:r>
        <w:rPr>
          <w:rFonts w:hint="eastAsia" w:ascii="宋体" w:hAnsi="宋体" w:eastAsia="宋体" w:cs="宋体"/>
          <w:color w:val="auto"/>
          <w:sz w:val="24"/>
          <w:szCs w:val="24"/>
          <w:highlight w:val="none"/>
          <w:lang w:eastAsia="zh-CN"/>
        </w:rPr>
        <w:t>单休加班费、</w:t>
      </w:r>
      <w:r>
        <w:rPr>
          <w:rFonts w:hint="eastAsia" w:ascii="宋体" w:hAnsi="宋体" w:eastAsia="宋体" w:cs="宋体"/>
          <w:color w:val="auto"/>
          <w:sz w:val="24"/>
          <w:szCs w:val="24"/>
          <w:highlight w:val="none"/>
        </w:rPr>
        <w:t>奖金、节日加班费等），社会保障费（养老保险、基本医疗保险、工伤保险、失业保险、生育保险、住房公积金等），企业管理费（管理人员工资、办公费、差旅交通费、固定资产使用费、劳动保</w:t>
      </w:r>
      <w:r>
        <w:rPr>
          <w:rFonts w:hint="eastAsia" w:ascii="宋体" w:hAnsi="宋体" w:eastAsia="宋体" w:cs="宋体"/>
          <w:color w:val="auto"/>
          <w:sz w:val="24"/>
          <w:szCs w:val="24"/>
          <w:highlight w:val="none"/>
          <w:lang w:eastAsia="zh-CN"/>
        </w:rPr>
        <w:t>护</w:t>
      </w:r>
      <w:r>
        <w:rPr>
          <w:rFonts w:hint="eastAsia" w:ascii="宋体" w:hAnsi="宋体" w:eastAsia="宋体" w:cs="宋体"/>
          <w:color w:val="auto"/>
          <w:sz w:val="24"/>
          <w:szCs w:val="24"/>
          <w:highlight w:val="none"/>
        </w:rPr>
        <w:t>费、工会经费、职工教育经费、财产保险费等），工作相关的服装费，企业应缴纳的各种税费等全部费用。</w:t>
      </w:r>
    </w:p>
    <w:p w14:paraId="1113E89B">
      <w:pPr>
        <w:spacing w:line="24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sz w:val="24"/>
          <w:szCs w:val="24"/>
          <w:highlight w:val="none"/>
          <w:u w:val="single"/>
        </w:rPr>
        <w:t>如遇突发事件或甲方管理需要物业人员临时加班，加班费标准</w:t>
      </w:r>
      <w:r>
        <w:rPr>
          <w:rFonts w:hint="eastAsia" w:ascii="宋体" w:hAnsi="宋体" w:eastAsia="宋体" w:cs="宋体"/>
          <w:b/>
          <w:bCs/>
          <w:color w:val="auto"/>
          <w:sz w:val="24"/>
          <w:szCs w:val="24"/>
          <w:highlight w:val="none"/>
          <w:u w:val="single"/>
          <w:lang w:val="en-US" w:eastAsia="zh-CN"/>
        </w:rPr>
        <w:t>15</w:t>
      </w:r>
      <w:r>
        <w:rPr>
          <w:rFonts w:hint="eastAsia" w:ascii="宋体" w:hAnsi="宋体" w:eastAsia="宋体" w:cs="宋体"/>
          <w:b/>
          <w:bCs/>
          <w:color w:val="auto"/>
          <w:sz w:val="24"/>
          <w:szCs w:val="24"/>
          <w:highlight w:val="none"/>
          <w:u w:val="single"/>
        </w:rPr>
        <w:t>元/</w:t>
      </w:r>
      <w:r>
        <w:rPr>
          <w:rFonts w:hint="eastAsia" w:ascii="宋体" w:hAnsi="宋体" w:eastAsia="宋体" w:cs="宋体"/>
          <w:b/>
          <w:bCs/>
          <w:color w:val="auto"/>
          <w:sz w:val="24"/>
          <w:szCs w:val="24"/>
          <w:highlight w:val="none"/>
          <w:u w:val="single"/>
          <w:lang w:val="en-US" w:eastAsia="zh-CN"/>
        </w:rPr>
        <w:t>时计付</w:t>
      </w:r>
      <w:r>
        <w:rPr>
          <w:rFonts w:hint="eastAsia" w:ascii="宋体" w:hAnsi="宋体" w:eastAsia="宋体" w:cs="宋体"/>
          <w:b/>
          <w:bCs/>
          <w:color w:val="auto"/>
          <w:sz w:val="24"/>
          <w:szCs w:val="24"/>
          <w:highlight w:val="none"/>
          <w:u w:val="single"/>
        </w:rPr>
        <w:t>，临时加班费总额</w:t>
      </w:r>
      <w:r>
        <w:rPr>
          <w:rFonts w:hint="eastAsia" w:ascii="宋体" w:hAnsi="宋体" w:eastAsia="宋体" w:cs="宋体"/>
          <w:b/>
          <w:bCs/>
          <w:color w:val="auto"/>
          <w:sz w:val="24"/>
          <w:szCs w:val="24"/>
          <w:highlight w:val="none"/>
          <w:u w:val="single"/>
          <w:lang w:val="en-US" w:eastAsia="zh-CN"/>
        </w:rPr>
        <w:t>控制在2</w:t>
      </w:r>
      <w:r>
        <w:rPr>
          <w:rFonts w:hint="eastAsia" w:ascii="宋体" w:hAnsi="宋体" w:eastAsia="宋体" w:cs="宋体"/>
          <w:b/>
          <w:bCs/>
          <w:color w:val="auto"/>
          <w:sz w:val="24"/>
          <w:szCs w:val="24"/>
          <w:highlight w:val="none"/>
          <w:u w:val="single"/>
        </w:rPr>
        <w:t>万元/年</w:t>
      </w:r>
      <w:r>
        <w:rPr>
          <w:rFonts w:hint="eastAsia" w:ascii="宋体" w:hAnsi="宋体" w:eastAsia="宋体" w:cs="宋体"/>
          <w:b/>
          <w:bCs/>
          <w:color w:val="auto"/>
          <w:sz w:val="24"/>
          <w:szCs w:val="24"/>
          <w:highlight w:val="none"/>
          <w:u w:val="single"/>
          <w:lang w:val="en-US" w:eastAsia="zh-CN"/>
        </w:rPr>
        <w:t>内</w:t>
      </w:r>
      <w:r>
        <w:rPr>
          <w:rFonts w:hint="eastAsia" w:ascii="宋体" w:hAnsi="宋体" w:eastAsia="宋体" w:cs="宋体"/>
          <w:b/>
          <w:bCs/>
          <w:color w:val="auto"/>
          <w:sz w:val="24"/>
          <w:szCs w:val="24"/>
          <w:highlight w:val="none"/>
          <w:u w:val="single"/>
        </w:rPr>
        <w:t>，在承包总价中列支。</w:t>
      </w:r>
      <w:r>
        <w:rPr>
          <w:rFonts w:hint="eastAsia" w:ascii="宋体" w:hAnsi="宋体" w:eastAsia="宋体" w:cs="宋体"/>
          <w:b/>
          <w:bCs/>
          <w:color w:val="auto"/>
          <w:sz w:val="24"/>
          <w:szCs w:val="24"/>
          <w:highlight w:val="none"/>
          <w:u w:val="single"/>
          <w:lang w:val="en-US" w:eastAsia="zh-CN"/>
        </w:rPr>
        <w:t>加班申请单需在事发当月由乙方提出申请，甲方负责人确认，超出时间期限的申请，一律不予确认计量</w:t>
      </w:r>
      <w:r>
        <w:rPr>
          <w:rFonts w:hint="eastAsia" w:ascii="宋体" w:hAnsi="宋体" w:eastAsia="宋体" w:cs="宋体"/>
          <w:bCs/>
          <w:color w:val="auto"/>
          <w:sz w:val="24"/>
          <w:szCs w:val="24"/>
          <w:highlight w:val="none"/>
          <w:lang w:val="en-US" w:eastAsia="zh-CN"/>
        </w:rPr>
        <w:t>。</w:t>
      </w:r>
    </w:p>
    <w:p w14:paraId="5DDBEA19">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Cs w:val="0"/>
          <w:color w:val="auto"/>
          <w:sz w:val="24"/>
          <w:szCs w:val="24"/>
          <w:highlight w:val="none"/>
          <w:lang w:val="en-US" w:eastAsia="zh-CN"/>
        </w:rPr>
        <w:t>员工奖励金及慰问金1.5万元整，用于停车区内员工的奖励及慰问，奖励（慰问）金额及奖励（慰问）方式由甲方根据相关员工的日常表现确定，但乙方不得因本奖励金及慰问金的发放而扣减原本乙方自身应发放给员工的相关奖励及福利。</w:t>
      </w:r>
    </w:p>
    <w:p w14:paraId="0E6DD4DE">
      <w:pPr>
        <w:spacing w:line="240" w:lineRule="auto"/>
        <w:ind w:firstLine="480" w:firstLineChars="200"/>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4.单价金额在50元以下零星维修费用按2.5万元/年计入，在承包总价中列支。维修申请单需在事发时或当月由乙方提出申请，甲方负责人确认，超出时间期限的申请，一律不予确认计量。</w:t>
      </w:r>
    </w:p>
    <w:p w14:paraId="5E29EC1A">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临时增加人员费用每季按实结算；员工奖励金由甲方根据考核情况并结合员工表现每季按实结算，相关费用需由乙方先行垫付，足额发放至对应员工，不得扣减。</w:t>
      </w:r>
    </w:p>
    <w:p w14:paraId="136FB401">
      <w:pPr>
        <w:spacing w:line="24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5.▲垃圾清运费、环境消杀费用包含在合同总价中，其中垃圾清运费、环境消杀可以委托第三方，但必须经甲方备案同意，且垃圾清运、环境消杀结果应达到甲方要求，否则一切后果由乙方承担。</w:t>
      </w:r>
    </w:p>
    <w:p w14:paraId="553EAF90">
      <w:pPr>
        <w:spacing w:line="24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6.▲ 甲方提供的各种设备、设施、工具，乙方应安全、规范使用。除正常使用折旧外，乙方应保证各设备、设施、工具的完好性，如有非正常损坏或遗失，乙方应照价赔偿。</w:t>
      </w:r>
    </w:p>
    <w:p w14:paraId="2943E379">
      <w:pPr>
        <w:spacing w:line="240" w:lineRule="auto"/>
        <w:ind w:firstLine="480"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7.</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kern w:val="0"/>
          <w:sz w:val="24"/>
          <w:szCs w:val="24"/>
          <w:highlight w:val="none"/>
          <w:u w:val="single"/>
          <w:lang w:val="en-US" w:eastAsia="zh-CN"/>
        </w:rPr>
        <w:t>除</w:t>
      </w:r>
      <w:r>
        <w:rPr>
          <w:rFonts w:hint="eastAsia" w:ascii="宋体" w:hAnsi="宋体" w:eastAsia="宋体" w:cs="宋体"/>
          <w:b/>
          <w:bCs/>
          <w:color w:val="auto"/>
          <w:kern w:val="0"/>
          <w:sz w:val="24"/>
          <w:szCs w:val="24"/>
          <w:highlight w:val="none"/>
          <w:u w:val="single"/>
        </w:rPr>
        <w:t>临时加班费、维修单价金额在50元以下维修费用、员工奖励</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lang w:val="en-US" w:eastAsia="zh-CN"/>
        </w:rPr>
        <w:t>慰问</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rPr>
        <w:t>金外，其他服务费实行承包制按季结算支付。每次直接支付</w:t>
      </w:r>
      <w:r>
        <w:rPr>
          <w:rFonts w:hint="eastAsia" w:ascii="宋体" w:hAnsi="宋体" w:eastAsia="宋体" w:cs="宋体"/>
          <w:b/>
          <w:bCs/>
          <w:color w:val="auto"/>
          <w:kern w:val="0"/>
          <w:sz w:val="24"/>
          <w:szCs w:val="24"/>
          <w:highlight w:val="none"/>
          <w:u w:val="single"/>
          <w:lang w:val="en-US" w:eastAsia="zh-CN"/>
        </w:rPr>
        <w:t>9</w:t>
      </w:r>
      <w:r>
        <w:rPr>
          <w:rFonts w:hint="eastAsia" w:ascii="宋体" w:hAnsi="宋体" w:eastAsia="宋体" w:cs="宋体"/>
          <w:b/>
          <w:bCs/>
          <w:color w:val="auto"/>
          <w:kern w:val="0"/>
          <w:sz w:val="24"/>
          <w:szCs w:val="24"/>
          <w:highlight w:val="none"/>
          <w:u w:val="single"/>
        </w:rPr>
        <w:t>0%，</w:t>
      </w:r>
      <w:r>
        <w:rPr>
          <w:rFonts w:hint="eastAsia" w:ascii="宋体" w:hAnsi="宋体" w:eastAsia="宋体" w:cs="宋体"/>
          <w:b/>
          <w:bCs/>
          <w:color w:val="auto"/>
          <w:kern w:val="0"/>
          <w:sz w:val="24"/>
          <w:szCs w:val="24"/>
          <w:highlight w:val="none"/>
          <w:u w:val="single"/>
          <w:lang w:val="en-US" w:eastAsia="zh-CN"/>
        </w:rPr>
        <w:t>10</w:t>
      </w:r>
      <w:r>
        <w:rPr>
          <w:rFonts w:hint="eastAsia" w:ascii="宋体" w:hAnsi="宋体" w:eastAsia="宋体" w:cs="宋体"/>
          <w:b/>
          <w:bCs/>
          <w:color w:val="auto"/>
          <w:kern w:val="0"/>
          <w:sz w:val="24"/>
          <w:szCs w:val="24"/>
          <w:highlight w:val="none"/>
          <w:u w:val="single"/>
        </w:rPr>
        <w:t>%根据考核情况予以支付。</w:t>
      </w:r>
      <w:r>
        <w:rPr>
          <w:rFonts w:hint="eastAsia" w:ascii="宋体" w:hAnsi="宋体" w:eastAsia="宋体" w:cs="宋体"/>
          <w:b/>
          <w:bCs/>
          <w:color w:val="auto"/>
          <w:kern w:val="0"/>
          <w:sz w:val="24"/>
          <w:szCs w:val="24"/>
          <w:highlight w:val="none"/>
          <w:u w:val="single"/>
          <w:lang w:val="en-US" w:eastAsia="zh-CN"/>
        </w:rPr>
        <w:t>乙方</w:t>
      </w:r>
      <w:r>
        <w:rPr>
          <w:rFonts w:hint="eastAsia" w:ascii="宋体" w:hAnsi="宋体" w:eastAsia="宋体" w:cs="宋体"/>
          <w:b/>
          <w:bCs/>
          <w:color w:val="auto"/>
          <w:kern w:val="0"/>
          <w:sz w:val="24"/>
          <w:szCs w:val="24"/>
          <w:highlight w:val="none"/>
          <w:u w:val="single"/>
        </w:rPr>
        <w:t>需提供增值税专用发票，先服务后结算</w:t>
      </w:r>
      <w:r>
        <w:rPr>
          <w:rFonts w:hint="eastAsia" w:ascii="宋体" w:hAnsi="宋体" w:eastAsia="宋体" w:cs="宋体"/>
          <w:color w:val="auto"/>
          <w:kern w:val="0"/>
          <w:sz w:val="24"/>
          <w:szCs w:val="24"/>
          <w:highlight w:val="none"/>
        </w:rPr>
        <w:t>。</w:t>
      </w:r>
    </w:p>
    <w:p w14:paraId="49976962">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第五章履约保证金</w:t>
      </w:r>
    </w:p>
    <w:p w14:paraId="6582C954">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rPr>
        <w:t>乙方在合同签订后向甲方支付合同价5%的履约保证金</w:t>
      </w:r>
      <w:r>
        <w:rPr>
          <w:rFonts w:hint="eastAsia" w:ascii="宋体" w:hAnsi="宋体" w:eastAsia="宋体" w:cs="宋体"/>
          <w:b/>
          <w:color w:val="auto"/>
          <w:kern w:val="0"/>
          <w:sz w:val="24"/>
          <w:szCs w:val="24"/>
          <w:highlight w:val="none"/>
          <w:u w:val="single"/>
        </w:rPr>
        <w:t>（须汇入</w:t>
      </w:r>
      <w:r>
        <w:rPr>
          <w:rFonts w:hint="eastAsia" w:ascii="宋体" w:hAnsi="宋体" w:eastAsia="宋体" w:cs="宋体"/>
          <w:b/>
          <w:color w:val="auto"/>
          <w:kern w:val="0"/>
          <w:sz w:val="24"/>
          <w:szCs w:val="24"/>
          <w:highlight w:val="none"/>
          <w:u w:val="single"/>
          <w:lang w:eastAsia="zh-CN"/>
        </w:rPr>
        <w:t>甲方</w:t>
      </w:r>
      <w:r>
        <w:rPr>
          <w:rFonts w:hint="eastAsia" w:ascii="宋体" w:hAnsi="宋体" w:eastAsia="宋体" w:cs="宋体"/>
          <w:b/>
          <w:color w:val="auto"/>
          <w:kern w:val="0"/>
          <w:sz w:val="24"/>
          <w:szCs w:val="24"/>
          <w:highlight w:val="none"/>
          <w:u w:val="single"/>
        </w:rPr>
        <w:t>指定银行账户</w:t>
      </w:r>
      <w:r>
        <w:rPr>
          <w:rFonts w:hint="eastAsia" w:ascii="宋体" w:hAnsi="宋体" w:eastAsia="宋体" w:cs="宋体"/>
          <w:b/>
          <w:color w:val="auto"/>
          <w:kern w:val="0"/>
          <w:sz w:val="24"/>
          <w:szCs w:val="24"/>
          <w:highlight w:val="none"/>
          <w:u w:val="single"/>
          <w:lang w:eastAsia="zh-CN"/>
        </w:rPr>
        <w:t>。户名：温州市高速公路资产经营有限公司；开户行：中国建设银行温州大自然支行；账号：33050162876800000039</w:t>
      </w:r>
      <w:r>
        <w:rPr>
          <w:rFonts w:hint="eastAsia" w:ascii="宋体" w:hAnsi="宋体" w:eastAsia="宋体" w:cs="宋体"/>
          <w:b/>
          <w:color w:val="auto"/>
          <w:kern w:val="0"/>
          <w:sz w:val="24"/>
          <w:szCs w:val="24"/>
          <w:highlight w:val="none"/>
          <w:u w:val="single"/>
        </w:rPr>
        <w:t>）</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对本合同履行过程中的事项，包括但不限于：服务质量、设施损坏、人身损害、违约赔偿金等进行担保。</w:t>
      </w:r>
    </w:p>
    <w:p w14:paraId="698411D1">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乙方的违约金额或其他应由乙方承担的金额，甲方有权直接在履约保证金中扣除。乙方应在甲方发出书面扣除通知之日起15日内，补足扣除额，以维持管理服务期间履约保证金的完整性。</w:t>
      </w:r>
    </w:p>
    <w:p w14:paraId="4DD5C4F5">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因乙方原因导致合同提前解除的，乙方履约保证金不予退还，乙方还应承担由此造成的甲方经济损失，双方另有约定的除外。</w:t>
      </w:r>
    </w:p>
    <w:p w14:paraId="14B31051">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保证金不计利息。服务期限届满或终止之日起六个月后，甲方将剩余履约保证金无息返还给乙方。</w:t>
      </w:r>
    </w:p>
    <w:p w14:paraId="6C35E766">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第六章合同解除</w:t>
      </w:r>
    </w:p>
    <w:p w14:paraId="4959C103">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出现下列情况之一的，甲方有权单方解除合同，并没收履约保证金，乙方应在甲方解除合同之日起三日内腾退场地，并办理移交手续，物业管理费用照实结算，甲方应于结算后3日内支付；因此给甲方造成损失的，乙方还应赔偿甲方损失：</w:t>
      </w:r>
    </w:p>
    <w:p w14:paraId="6B1BF75C">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1.乙方未按甲方通知的时间及金额补足履约保证金，拖欠时间超过30天的。</w:t>
      </w:r>
    </w:p>
    <w:p w14:paraId="3F076F76">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2.乙方违反本协议约定，经甲方书面通知后仍未改正的。</w:t>
      </w:r>
    </w:p>
    <w:p w14:paraId="66732C1F">
      <w:pPr>
        <w:autoSpaceDE w:val="0"/>
        <w:autoSpaceDN w:val="0"/>
        <w:adjustRightInd w:val="0"/>
        <w:spacing w:line="240" w:lineRule="auto"/>
        <w:ind w:left="420" w:left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3.乙方存在以下情形的：</w:t>
      </w:r>
    </w:p>
    <w:p w14:paraId="5FA27ABC">
      <w:pPr>
        <w:autoSpaceDE w:val="0"/>
        <w:autoSpaceDN w:val="0"/>
        <w:adjustRightInd w:val="0"/>
        <w:spacing w:line="240" w:lineRule="auto"/>
        <w:ind w:left="420" w:left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（1）因乙方原因被行业主管部门、集团公司、新闻媒体等通报批评或曝光，对甲方</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荣誉</w:t>
      </w:r>
      <w:r>
        <w:rPr>
          <w:rFonts w:hint="eastAsia" w:ascii="宋体" w:hAnsi="宋体" w:eastAsia="宋体" w:cs="宋体"/>
          <w:color w:val="auto"/>
          <w:sz w:val="24"/>
          <w:szCs w:val="24"/>
          <w:highlight w:val="none"/>
          <w:lang w:val="zh-CN"/>
        </w:rPr>
        <w:t>带来严重影响的；</w:t>
      </w:r>
    </w:p>
    <w:p w14:paraId="3D32A7C3">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（2）不符合现行行业标准；</w:t>
      </w:r>
    </w:p>
    <w:p w14:paraId="31B922B2">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（3）文明服务、管理服务规范配合明显不到位的；</w:t>
      </w:r>
    </w:p>
    <w:p w14:paraId="684E4D08">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（4）乙方累计三次遭到行政机关行政处罚的。</w:t>
      </w:r>
    </w:p>
    <w:p w14:paraId="175D15A6">
      <w:pPr>
        <w:autoSpaceDE w:val="0"/>
        <w:autoSpaceDN w:val="0"/>
        <w:adjustRightInd w:val="0"/>
        <w:spacing w:line="24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因甲方或上级单位发展战略调整等原因需提前与乙方解除合同的，甲方应提前三个月书面告知乙方，乙方应给予支持。</w:t>
      </w:r>
    </w:p>
    <w:p w14:paraId="7A3AAC4C">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第七章违约责任</w:t>
      </w:r>
    </w:p>
    <w:p w14:paraId="260A7F1A">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lang w:val="en-US" w:eastAsia="zh-CN"/>
        </w:rPr>
        <w:t>二十</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甲方违反合同约定，乙方有权要求甲方在一定期限内解决，逾期未解决并造成乙方经济损失的，甲方应给予乙方经济赔偿，并承担相应的法律责任。若乙方在执行服务当中的人员未到达本项目的要求，甲方根据乙方投标报价中的人员费用单价进行扣除。</w:t>
      </w:r>
    </w:p>
    <w:p w14:paraId="5D7DB53F">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乙方违反合同的约定，未达到约定的管理目标，甲方有权要求乙方限期整改，逾期未整改的，甲方有权终止合同；造成甲方经济损失的，乙方应给予甲方经济赔偿，并承担相应的法律责任。</w:t>
      </w:r>
    </w:p>
    <w:p w14:paraId="11ED77C9">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乙方无正当理由提前终止合同的，应向甲方支付违约金数额为合同物业管理费总额的10%，同时甲方有权没收乙方的履约保证金；违约金不足以弥补甲方损失的，乙方还应给予足额赔偿。</w:t>
      </w:r>
    </w:p>
    <w:p w14:paraId="7BBFCF7E">
      <w:pPr>
        <w:spacing w:line="24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本合同有效期内，乙方遭受行政机关行政处罚的，应每次向甲方支付违约金人民币1万元。</w:t>
      </w:r>
    </w:p>
    <w:p w14:paraId="6DEED1AF">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第八章合同终止</w:t>
      </w:r>
    </w:p>
    <w:p w14:paraId="58ACE564">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管理服务期满后乙方不再继续管理服务或乙方因任何原因提前解除合同的，考虑到</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lang w:val="zh-CN"/>
        </w:rPr>
        <w:t>服务的连续性和影响力，甲方有权要求乙方依据本合同约定继续管理服务一段时间，直至新的单位进场。</w:t>
      </w:r>
    </w:p>
    <w:p w14:paraId="63B63FAF">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管理服务期满后乙方不再继续或合同提前解除的，在合同解除或终止之日起三日内，乙方应将场地建筑物、构筑物及设施（备）按合同规定要求移交甲方，乙方不能以任何理由拒绝办理移交。</w:t>
      </w:r>
    </w:p>
    <w:p w14:paraId="5FBFBF41">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乙方移交时应达到如下标准：</w:t>
      </w:r>
    </w:p>
    <w:p w14:paraId="17C457D4">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1.房屋及装修清洁无损坏，如有损坏，按损坏程度赔偿。</w:t>
      </w:r>
    </w:p>
    <w:p w14:paraId="35E1B898">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2.设施（备）运行正常完好，如有损坏，按原价正常折旧后赔偿。</w:t>
      </w:r>
    </w:p>
    <w:p w14:paraId="394E8C97">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3.设施（备）功能和外表完好。</w:t>
      </w:r>
    </w:p>
    <w:p w14:paraId="2A892C30">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4.为新的单位提供工作便利和配合做好进场工作。</w:t>
      </w:r>
    </w:p>
    <w:p w14:paraId="7A4967BD">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乙方移交未达到以上标准的，甲方可自行或委托第三方办理，费用由乙方承担或从乙方交纳的履约保证金中扣除。</w:t>
      </w:r>
    </w:p>
    <w:p w14:paraId="5CCE3AE6">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乙方移交时，属于乙方的物品由乙方负责搬走，乙方逾期十日未搬走的，甲方有权自行处理，费用由乙方承担。</w:t>
      </w:r>
    </w:p>
    <w:p w14:paraId="74D4301B">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第九章通知条款</w:t>
      </w:r>
    </w:p>
    <w:p w14:paraId="428193FD">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涉及本合同权利义务变化的或其他必要通知，应以书面形式传递，收到方应签收。如无法向他方直接送达或收到方不予签收，可邮寄送达，邮件寄至本合同记载之地址时，即视为送达。</w:t>
      </w:r>
    </w:p>
    <w:p w14:paraId="73A5EADC">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本合同下述的地址、电话、传真为双方通知送达的地址、电话、传真，如果任何一方变更，应在变更后3日内书面通知相对方，否则任何一方通知送达前述地址，即视为被送达方收到，由此引发的法律后果由被送达人承担。</w:t>
      </w:r>
    </w:p>
    <w:tbl>
      <w:tblPr>
        <w:tblStyle w:val="2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7654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14:paraId="412724DF">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甲方地址：</w:t>
            </w:r>
          </w:p>
          <w:p w14:paraId="5C21D0E5">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指定联系人: </w:t>
            </w:r>
          </w:p>
          <w:p w14:paraId="356DC15C">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2784489F">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p>
          <w:p w14:paraId="2D305BBD">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电子邮箱： </w:t>
            </w:r>
          </w:p>
        </w:tc>
        <w:tc>
          <w:tcPr>
            <w:tcW w:w="4644" w:type="dxa"/>
            <w:shd w:val="clear" w:color="auto" w:fill="auto"/>
            <w:vAlign w:val="top"/>
          </w:tcPr>
          <w:p w14:paraId="3AD517D8">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方地址：</w:t>
            </w:r>
          </w:p>
          <w:p w14:paraId="327B94A6">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指定联系人: </w:t>
            </w:r>
          </w:p>
          <w:p w14:paraId="50162E82">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13503065">
            <w:pPr>
              <w:pStyle w:val="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p>
          <w:p w14:paraId="05338B13">
            <w:pPr>
              <w:pStyle w:val="12"/>
              <w:ind w:left="426" w:leftChars="0" w:right="-11" w:rightChars="0" w:hanging="426" w:hangingChars="20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电子邮箱： </w:t>
            </w:r>
          </w:p>
        </w:tc>
      </w:tr>
    </w:tbl>
    <w:p w14:paraId="6D6824DA">
      <w:pPr>
        <w:autoSpaceDE w:val="0"/>
        <w:autoSpaceDN w:val="0"/>
        <w:adjustRightInd w:val="0"/>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0308EC">
      <w:pPr>
        <w:autoSpaceDE w:val="0"/>
        <w:autoSpaceDN w:val="0"/>
        <w:adjustRightInd w:val="0"/>
        <w:spacing w:line="24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第十章适用法律和争议的解决</w:t>
      </w:r>
    </w:p>
    <w:p w14:paraId="0C75F1EC">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第二十</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lang w:val="zh-CN"/>
        </w:rPr>
        <w:t>本合同适用中华人民共和国法律。</w:t>
      </w:r>
    </w:p>
    <w:p w14:paraId="2F63CEC2">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三十</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lang w:val="zh-CN"/>
        </w:rPr>
        <w:t>因本合同履行引起的任何争议，在不停止</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lang w:val="zh-CN"/>
        </w:rPr>
        <w:t>物业管理服务的前提下，双方应友好协商解决；协商不成，由甲方所在地人民法院裁决。</w:t>
      </w:r>
    </w:p>
    <w:p w14:paraId="32090D05">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第十一章附则</w:t>
      </w:r>
    </w:p>
    <w:p w14:paraId="2DA91A92">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三十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合同自双方签字盖章之日起生效。</w:t>
      </w:r>
    </w:p>
    <w:p w14:paraId="647F47A7">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本合同一式</w:t>
      </w:r>
      <w:r>
        <w:rPr>
          <w:rFonts w:hint="eastAsia" w:ascii="宋体" w:hAnsi="宋体" w:eastAsia="宋体" w:cs="宋体"/>
          <w:color w:val="auto"/>
          <w:sz w:val="24"/>
          <w:szCs w:val="24"/>
          <w:highlight w:val="none"/>
        </w:rPr>
        <w:t>伍</w:t>
      </w:r>
      <w:r>
        <w:rPr>
          <w:rFonts w:hint="eastAsia" w:ascii="宋体" w:hAnsi="宋体" w:eastAsia="宋体" w:cs="宋体"/>
          <w:color w:val="auto"/>
          <w:sz w:val="24"/>
          <w:szCs w:val="24"/>
          <w:highlight w:val="none"/>
          <w:lang w:val="zh-CN"/>
        </w:rPr>
        <w:t>份，甲、乙双方各执</w:t>
      </w:r>
      <w:r>
        <w:rPr>
          <w:rFonts w:hint="eastAsia" w:ascii="宋体" w:hAnsi="宋体" w:eastAsia="宋体" w:cs="宋体"/>
          <w:color w:val="auto"/>
          <w:sz w:val="24"/>
          <w:szCs w:val="24"/>
          <w:highlight w:val="none"/>
        </w:rPr>
        <w:t>贰</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另一份交采购代理机构备案，</w:t>
      </w:r>
      <w:r>
        <w:rPr>
          <w:rFonts w:hint="eastAsia" w:ascii="宋体" w:hAnsi="宋体" w:eastAsia="宋体" w:cs="宋体"/>
          <w:color w:val="auto"/>
          <w:sz w:val="24"/>
          <w:szCs w:val="24"/>
          <w:highlight w:val="none"/>
          <w:lang w:val="zh-CN"/>
        </w:rPr>
        <w:t>每份具有同等法律效力。</w:t>
      </w:r>
    </w:p>
    <w:p w14:paraId="00A905F1">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本合同未尽事宜，双方协商后另行签订补充合同。补充合同与本合同具有同等法律效力。</w:t>
      </w:r>
    </w:p>
    <w:p w14:paraId="2787563C">
      <w:pPr>
        <w:autoSpaceDE w:val="0"/>
        <w:autoSpaceDN w:val="0"/>
        <w:adjustRightInd w:val="0"/>
        <w:spacing w:line="24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三十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本合同之附件为合同的有效组成部分，与本合同具有同等法律效力。该附件必须经甲、乙双方签字认可，附件之间如有冲突，双方协商解决。</w:t>
      </w:r>
    </w:p>
    <w:p w14:paraId="24F0615A">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（以下无正文）</w:t>
      </w:r>
    </w:p>
    <w:p w14:paraId="1FF8383A">
      <w:pPr>
        <w:pStyle w:val="12"/>
        <w:spacing w:line="240" w:lineRule="auto"/>
        <w:ind w:left="0" w:leftChars="0" w:firstLine="0" w:firstLineChars="0"/>
        <w:rPr>
          <w:rFonts w:hint="eastAsia" w:ascii="宋体" w:hAnsi="宋体" w:eastAsia="宋体" w:cs="宋体"/>
          <w:lang w:val="zh-CN"/>
        </w:rPr>
      </w:pPr>
    </w:p>
    <w:p w14:paraId="25DE9B37">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14:paraId="7BE3A73D">
      <w:pPr>
        <w:autoSpaceDE w:val="0"/>
        <w:autoSpaceDN w:val="0"/>
        <w:adjustRightInd w:val="0"/>
        <w:spacing w:line="24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t>合同附件：</w:t>
      </w:r>
    </w:p>
    <w:p w14:paraId="3131749E">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附件一、《高速公路</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业务廉政合同》</w:t>
      </w:r>
    </w:p>
    <w:p w14:paraId="7EEFAA7B">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附件二、《高速公路</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业务安全生产暨社会治安综合治理合同》</w:t>
      </w:r>
    </w:p>
    <w:p w14:paraId="08E9C433">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附件三、</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物业工作质量量化标准（以甲方下发的最新版本为准）</w:t>
      </w:r>
    </w:p>
    <w:p w14:paraId="158B62C2">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附件四、</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物业管理考核办法（以甲方下发的最新版本为准）</w:t>
      </w:r>
    </w:p>
    <w:p w14:paraId="0F4060EA">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附件五、</w:t>
      </w:r>
      <w:r>
        <w:rPr>
          <w:rFonts w:hint="eastAsia" w:ascii="宋体" w:hAnsi="宋体" w:eastAsia="宋体" w:cs="宋体"/>
          <w:color w:val="auto"/>
          <w:sz w:val="24"/>
          <w:szCs w:val="24"/>
          <w:highlight w:val="none"/>
          <w:lang w:eastAsia="zh-CN"/>
        </w:rPr>
        <w:t>停车区</w:t>
      </w:r>
      <w:r>
        <w:rPr>
          <w:rFonts w:hint="eastAsia" w:ascii="宋体" w:hAnsi="宋体" w:eastAsia="宋体" w:cs="宋体"/>
          <w:color w:val="auto"/>
          <w:sz w:val="24"/>
          <w:szCs w:val="24"/>
          <w:highlight w:val="none"/>
        </w:rPr>
        <w:t>物业项目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度考核评分表（以甲方下发的最新版本为准）</w:t>
      </w:r>
    </w:p>
    <w:p w14:paraId="30CD6BCD">
      <w:pPr>
        <w:spacing w:line="240" w:lineRule="auto"/>
        <w:ind w:firstLine="480" w:firstLineChars="200"/>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附件六、投标分项报价表</w:t>
      </w:r>
    </w:p>
    <w:p w14:paraId="61875726">
      <w:pPr>
        <w:bidi w:val="0"/>
        <w:spacing w:line="240" w:lineRule="auto"/>
        <w:rPr>
          <w:rFonts w:hint="eastAsia" w:ascii="宋体" w:hAnsi="宋体" w:eastAsia="宋体" w:cs="宋体"/>
          <w:sz w:val="24"/>
          <w:szCs w:val="24"/>
        </w:rPr>
      </w:pPr>
    </w:p>
    <w:p w14:paraId="4F39AB2F">
      <w:pPr>
        <w:pStyle w:val="12"/>
        <w:spacing w:line="240" w:lineRule="auto"/>
        <w:rPr>
          <w:rFonts w:hint="eastAsia" w:ascii="宋体" w:hAnsi="宋体" w:eastAsia="宋体" w:cs="宋体"/>
          <w:sz w:val="24"/>
          <w:szCs w:val="24"/>
        </w:rPr>
      </w:pPr>
    </w:p>
    <w:p w14:paraId="276C846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甲方单位：</w:t>
      </w:r>
      <w:r>
        <w:rPr>
          <w:rFonts w:hint="eastAsia" w:ascii="宋体" w:hAnsi="宋体" w:eastAsia="宋体" w:cs="宋体"/>
          <w:b w:val="0"/>
          <w:bCs w:val="0"/>
          <w:color w:val="auto"/>
          <w:sz w:val="24"/>
          <w:szCs w:val="24"/>
          <w:highlight w:val="none"/>
          <w:u w:val="single"/>
        </w:rPr>
        <w:t>温州市高速公路资产经营有限公司</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公章</w:t>
      </w:r>
      <w:r>
        <w:rPr>
          <w:rFonts w:hint="eastAsia" w:ascii="宋体" w:hAnsi="宋体" w:eastAsia="宋体" w:cs="宋体"/>
          <w:b w:val="0"/>
          <w:bCs w:val="0"/>
          <w:color w:val="auto"/>
          <w:sz w:val="24"/>
          <w:szCs w:val="24"/>
          <w:highlight w:val="none"/>
        </w:rPr>
        <w:t xml:space="preserve">）                           </w:t>
      </w:r>
    </w:p>
    <w:p w14:paraId="0B513852">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p>
    <w:p w14:paraId="587417E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或其授权代理人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（签字或盖章）</w:t>
      </w:r>
    </w:p>
    <w:p w14:paraId="41A87563">
      <w:pPr>
        <w:bidi w:val="0"/>
        <w:spacing w:line="360" w:lineRule="auto"/>
        <w:rPr>
          <w:rFonts w:hint="eastAsia" w:ascii="宋体" w:hAnsi="宋体" w:eastAsia="宋体" w:cs="宋体"/>
          <w:sz w:val="24"/>
          <w:szCs w:val="24"/>
        </w:rPr>
      </w:pPr>
    </w:p>
    <w:p w14:paraId="5A04EDF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乙方单位：</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 xml:space="preserve">（盖章）      </w:t>
      </w:r>
    </w:p>
    <w:p w14:paraId="36A888C8">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p>
    <w:p w14:paraId="75AB2DAD">
      <w:pPr>
        <w:widowControl/>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或其授权代理人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（签字或盖章）</w:t>
      </w:r>
    </w:p>
    <w:p w14:paraId="4D338970">
      <w:pPr>
        <w:widowControl/>
        <w:spacing w:line="360" w:lineRule="auto"/>
        <w:jc w:val="left"/>
        <w:rPr>
          <w:rFonts w:hint="eastAsia" w:ascii="宋体" w:hAnsi="宋体" w:eastAsia="宋体" w:cs="宋体"/>
          <w:b w:val="0"/>
          <w:bCs w:val="0"/>
          <w:color w:val="auto"/>
          <w:sz w:val="24"/>
          <w:szCs w:val="24"/>
          <w:highlight w:val="none"/>
        </w:rPr>
      </w:pPr>
    </w:p>
    <w:p w14:paraId="2F74DD72">
      <w:pPr>
        <w:widowControl/>
        <w:spacing w:line="24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签订日期：      年    月   日</w:t>
      </w:r>
    </w:p>
    <w:p w14:paraId="206177F4">
      <w:pPr>
        <w:autoSpaceDE w:val="0"/>
        <w:autoSpaceDN w:val="0"/>
        <w:adjustRightInd w:val="0"/>
        <w:spacing w:line="240" w:lineRule="auto"/>
        <w:jc w:val="left"/>
        <w:outlineLvl w:val="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30"/>
          <w:szCs w:val="30"/>
          <w:highlight w:val="none"/>
        </w:rPr>
        <w:t>附件一</w:t>
      </w:r>
    </w:p>
    <w:p w14:paraId="14AC2A62">
      <w:pPr>
        <w:autoSpaceDE w:val="0"/>
        <w:autoSpaceDN w:val="0"/>
        <w:adjustRightInd w:val="0"/>
        <w:spacing w:line="240" w:lineRule="auto"/>
        <w:jc w:val="center"/>
        <w:rPr>
          <w:rFonts w:hint="eastAsia" w:ascii="宋体" w:hAnsi="宋体" w:eastAsia="宋体" w:cs="宋体"/>
          <w:b/>
          <w:bCs w:val="0"/>
          <w:color w:val="auto"/>
          <w:sz w:val="30"/>
          <w:szCs w:val="30"/>
          <w:highlight w:val="none"/>
          <w:lang w:val="zh-CN"/>
        </w:rPr>
      </w:pPr>
      <w:r>
        <w:rPr>
          <w:rFonts w:hint="eastAsia" w:ascii="宋体" w:hAnsi="宋体" w:eastAsia="宋体" w:cs="宋体"/>
          <w:b/>
          <w:bCs w:val="0"/>
          <w:color w:val="auto"/>
          <w:sz w:val="30"/>
          <w:szCs w:val="30"/>
          <w:highlight w:val="none"/>
          <w:lang w:val="zh-CN"/>
        </w:rPr>
        <w:t>温州市高速公路资产经营有限公司</w:t>
      </w:r>
    </w:p>
    <w:p w14:paraId="379EFA9D">
      <w:pPr>
        <w:autoSpaceDE w:val="0"/>
        <w:autoSpaceDN w:val="0"/>
        <w:adjustRightInd w:val="0"/>
        <w:spacing w:line="240" w:lineRule="auto"/>
        <w:jc w:val="center"/>
        <w:rPr>
          <w:rFonts w:hint="eastAsia" w:ascii="宋体" w:hAnsi="宋体" w:eastAsia="宋体" w:cs="宋体"/>
          <w:b/>
          <w:bCs w:val="0"/>
          <w:color w:val="auto"/>
          <w:sz w:val="30"/>
          <w:szCs w:val="30"/>
          <w:highlight w:val="none"/>
          <w:lang w:val="zh-CN"/>
        </w:rPr>
      </w:pPr>
      <w:bookmarkStart w:id="192" w:name="_Toc444688528"/>
      <w:r>
        <w:rPr>
          <w:rFonts w:hint="eastAsia" w:ascii="宋体" w:hAnsi="宋体" w:eastAsia="宋体" w:cs="宋体"/>
          <w:b/>
          <w:bCs w:val="0"/>
          <w:color w:val="auto"/>
          <w:sz w:val="30"/>
          <w:szCs w:val="30"/>
          <w:highlight w:val="none"/>
          <w:lang w:val="zh-CN"/>
        </w:rPr>
        <w:t>停车区业务廉政合同</w:t>
      </w:r>
      <w:bookmarkEnd w:id="192"/>
    </w:p>
    <w:p w14:paraId="1CFDC8C2">
      <w:pPr>
        <w:spacing w:line="240" w:lineRule="auto"/>
        <w:jc w:val="center"/>
        <w:rPr>
          <w:rFonts w:hint="eastAsia" w:ascii="宋体" w:hAnsi="宋体" w:eastAsia="宋体" w:cs="宋体"/>
          <w:b/>
          <w:color w:val="auto"/>
          <w:sz w:val="21"/>
          <w:szCs w:val="21"/>
          <w:highlight w:val="none"/>
        </w:rPr>
      </w:pPr>
    </w:p>
    <w:p w14:paraId="0A89C16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根据有关廉政建设的规定，为做好管理服务活动中的党风廉政建设，保证</w:t>
      </w:r>
      <w:r>
        <w:rPr>
          <w:rFonts w:hint="eastAsia" w:ascii="宋体" w:hAnsi="宋体" w:eastAsia="宋体" w:cs="宋体"/>
          <w:color w:val="auto"/>
          <w:sz w:val="21"/>
          <w:szCs w:val="21"/>
          <w:highlight w:val="none"/>
          <w:lang w:eastAsia="zh-CN"/>
        </w:rPr>
        <w:t>停车区</w:t>
      </w:r>
      <w:r>
        <w:rPr>
          <w:rFonts w:hint="eastAsia" w:ascii="宋体" w:hAnsi="宋体" w:eastAsia="宋体" w:cs="宋体"/>
          <w:color w:val="auto"/>
          <w:sz w:val="21"/>
          <w:szCs w:val="21"/>
          <w:highlight w:val="none"/>
        </w:rPr>
        <w:t>严格管理、规范服务，自觉维护</w:t>
      </w:r>
      <w:r>
        <w:rPr>
          <w:rFonts w:hint="eastAsia" w:ascii="宋体" w:hAnsi="宋体" w:eastAsia="宋体" w:cs="宋体"/>
          <w:color w:val="auto"/>
          <w:sz w:val="21"/>
          <w:szCs w:val="21"/>
          <w:highlight w:val="none"/>
          <w:lang w:eastAsia="zh-CN"/>
        </w:rPr>
        <w:t>停车区</w:t>
      </w:r>
      <w:r>
        <w:rPr>
          <w:rFonts w:hint="eastAsia" w:ascii="宋体" w:hAnsi="宋体" w:eastAsia="宋体" w:cs="宋体"/>
          <w:color w:val="auto"/>
          <w:sz w:val="21"/>
          <w:szCs w:val="21"/>
          <w:highlight w:val="none"/>
        </w:rPr>
        <w:t>文明窗口形象以及投资效益，温州市高速公路资产经营有限公司(以下称甲方)与(以下称乙方)，特订立以下合同。</w:t>
      </w:r>
    </w:p>
    <w:p w14:paraId="5BBE522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14:paraId="79EA9EBD">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14:paraId="0F368730">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严格执行物业管理服务项目合同，自觉按合同办事。</w:t>
      </w:r>
    </w:p>
    <w:p w14:paraId="4FD648A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14:paraId="47F646A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建立健全廉政制度，开展廉政教育，建立廉政告示牌，公布举报电话，监督并认真查处违法违纪行为。</w:t>
      </w:r>
    </w:p>
    <w:p w14:paraId="459166A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14:paraId="47F0029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14:paraId="526E998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14:paraId="551F4F9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14:paraId="2A7D5B4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14:paraId="2BFDE1E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14:paraId="44AC563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lang w:eastAsia="zh-CN"/>
        </w:rPr>
        <w:t>停车区</w:t>
      </w:r>
      <w:r>
        <w:rPr>
          <w:rFonts w:hint="eastAsia" w:ascii="宋体" w:hAnsi="宋体" w:eastAsia="宋体" w:cs="宋体"/>
          <w:color w:val="auto"/>
          <w:sz w:val="21"/>
          <w:szCs w:val="21"/>
          <w:highlight w:val="none"/>
        </w:rPr>
        <w:t>物业管理项目有关的工程分包、劳务等经济活动。</w:t>
      </w:r>
    </w:p>
    <w:p w14:paraId="2F17F28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 甲方工作人员要秉公办事，不准营私舞弊，不准利用职权从事各种个人有偿中介活动和安排个人施工队伍。</w:t>
      </w:r>
    </w:p>
    <w:p w14:paraId="4FFBF6C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14:paraId="68703738">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14:paraId="792C7A4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14:paraId="3301951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14:paraId="16CAA17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14:paraId="1CF7F55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14:paraId="7E415F3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14:paraId="709FE6F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(2)乙方及其工作人员违反本合同第1、3条，按管理权限，依据有关规定，建议给予党纪、政纪或组织处理；给甲方单位造成经济损失的应予以赔偿；情节严重的，甲方建议行业主管部门给予乙方三年内不得进入</w:t>
      </w:r>
      <w:r>
        <w:rPr>
          <w:rFonts w:hint="eastAsia" w:ascii="宋体" w:hAnsi="宋体" w:eastAsia="宋体" w:cs="宋体"/>
          <w:color w:val="auto"/>
          <w:sz w:val="21"/>
          <w:szCs w:val="21"/>
          <w:highlight w:val="none"/>
          <w:lang w:eastAsia="zh-CN"/>
        </w:rPr>
        <w:t>停车区</w:t>
      </w:r>
      <w:r>
        <w:rPr>
          <w:rFonts w:hint="eastAsia" w:ascii="宋体" w:hAnsi="宋体" w:eastAsia="宋体" w:cs="宋体"/>
          <w:color w:val="auto"/>
          <w:sz w:val="21"/>
          <w:szCs w:val="21"/>
          <w:highlight w:val="none"/>
        </w:rPr>
        <w:t>任何项目的处罚。</w:t>
      </w:r>
    </w:p>
    <w:p w14:paraId="14E39EE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2D852E1D">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14:paraId="3A0D4469">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7、本合同作为物业管理服务项目合同的附件，与该合同具有同等的法律效力，经合同双方签署立即生效。</w:t>
      </w:r>
    </w:p>
    <w:p w14:paraId="7273626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8．本合同正本一式肆份，双方各执两份，每份具有同等法律效力。</w:t>
      </w:r>
    </w:p>
    <w:p w14:paraId="5B833229">
      <w:pPr>
        <w:pStyle w:val="12"/>
        <w:spacing w:line="240" w:lineRule="auto"/>
        <w:rPr>
          <w:rFonts w:hint="eastAsia" w:ascii="宋体" w:hAnsi="宋体" w:eastAsia="宋体" w:cs="宋体"/>
          <w:b w:val="0"/>
          <w:bCs w:val="0"/>
          <w:color w:val="auto"/>
          <w:sz w:val="21"/>
          <w:szCs w:val="21"/>
          <w:highlight w:val="none"/>
        </w:rPr>
      </w:pPr>
    </w:p>
    <w:p w14:paraId="5F75F085">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公章</w:t>
      </w:r>
      <w:r>
        <w:rPr>
          <w:rFonts w:hint="eastAsia" w:ascii="宋体" w:hAnsi="宋体" w:eastAsia="宋体" w:cs="宋体"/>
          <w:b w:val="0"/>
          <w:bCs w:val="0"/>
          <w:color w:val="auto"/>
          <w:sz w:val="21"/>
          <w:szCs w:val="21"/>
          <w:highlight w:val="none"/>
        </w:rPr>
        <w:t xml:space="preserve">）                           </w:t>
      </w:r>
    </w:p>
    <w:p w14:paraId="0F8F2793">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14:paraId="3CAA0656">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14:paraId="7F19D5A7">
      <w:pPr>
        <w:pStyle w:val="12"/>
        <w:spacing w:line="240" w:lineRule="auto"/>
        <w:rPr>
          <w:rFonts w:hint="eastAsia" w:ascii="宋体" w:hAnsi="宋体" w:eastAsia="宋体" w:cs="宋体"/>
          <w:b w:val="0"/>
          <w:bCs w:val="0"/>
          <w:color w:val="auto"/>
          <w:sz w:val="21"/>
          <w:szCs w:val="21"/>
          <w:highlight w:val="none"/>
        </w:rPr>
      </w:pPr>
    </w:p>
    <w:p w14:paraId="0FE45470">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（盖章）      </w:t>
      </w:r>
    </w:p>
    <w:p w14:paraId="4B3FB799">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14:paraId="0B333D80">
      <w:pPr>
        <w:widowControl/>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14:paraId="39FECB5A">
      <w:pPr>
        <w:pStyle w:val="12"/>
        <w:spacing w:line="240" w:lineRule="auto"/>
        <w:rPr>
          <w:rFonts w:hint="eastAsia" w:ascii="宋体" w:hAnsi="宋体" w:eastAsia="宋体" w:cs="宋体"/>
          <w:b/>
          <w:bCs/>
          <w:color w:val="auto"/>
          <w:sz w:val="21"/>
          <w:szCs w:val="21"/>
          <w:highlight w:val="none"/>
        </w:rPr>
      </w:pPr>
    </w:p>
    <w:p w14:paraId="5AF9C5E1">
      <w:pPr>
        <w:widowControl/>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签订日期：      年    月   日</w:t>
      </w:r>
    </w:p>
    <w:p w14:paraId="515B648F">
      <w:pPr>
        <w:widowControl/>
        <w:spacing w:line="240" w:lineRule="auto"/>
        <w:ind w:firstLine="5145" w:firstLineChars="2450"/>
        <w:jc w:val="left"/>
        <w:rPr>
          <w:rFonts w:hint="eastAsia" w:ascii="宋体" w:hAnsi="宋体" w:eastAsia="宋体" w:cs="宋体"/>
          <w:color w:val="auto"/>
          <w:kern w:val="0"/>
          <w:sz w:val="21"/>
          <w:szCs w:val="21"/>
          <w:highlight w:val="none"/>
        </w:rPr>
      </w:pPr>
    </w:p>
    <w:p w14:paraId="5A2C3485">
      <w:pPr>
        <w:pStyle w:val="12"/>
        <w:spacing w:line="240" w:lineRule="auto"/>
        <w:rPr>
          <w:rFonts w:hint="eastAsia" w:ascii="宋体" w:hAnsi="宋体" w:eastAsia="宋体" w:cs="宋体"/>
          <w:color w:val="auto"/>
          <w:kern w:val="0"/>
          <w:sz w:val="21"/>
          <w:szCs w:val="21"/>
          <w:highlight w:val="none"/>
        </w:rPr>
      </w:pPr>
    </w:p>
    <w:p w14:paraId="57BD2703">
      <w:pPr>
        <w:pStyle w:val="12"/>
        <w:spacing w:line="240" w:lineRule="auto"/>
        <w:rPr>
          <w:rFonts w:hint="eastAsia" w:ascii="宋体" w:hAnsi="宋体" w:eastAsia="宋体" w:cs="宋体"/>
          <w:color w:val="auto"/>
          <w:kern w:val="0"/>
          <w:sz w:val="21"/>
          <w:szCs w:val="21"/>
          <w:highlight w:val="none"/>
        </w:rPr>
      </w:pPr>
    </w:p>
    <w:p w14:paraId="7BA931A5">
      <w:pPr>
        <w:pStyle w:val="12"/>
        <w:spacing w:line="240" w:lineRule="auto"/>
        <w:rPr>
          <w:rFonts w:hint="eastAsia" w:ascii="宋体" w:hAnsi="宋体" w:eastAsia="宋体" w:cs="宋体"/>
          <w:color w:val="auto"/>
          <w:kern w:val="0"/>
          <w:sz w:val="21"/>
          <w:szCs w:val="21"/>
          <w:highlight w:val="none"/>
        </w:rPr>
      </w:pPr>
    </w:p>
    <w:p w14:paraId="7325EA92">
      <w:pPr>
        <w:widowControl/>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30"/>
          <w:szCs w:val="30"/>
          <w:highlight w:val="none"/>
        </w:rPr>
        <w:t>附件二</w:t>
      </w:r>
    </w:p>
    <w:p w14:paraId="0CF2F979">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温州市高速公路资产经营有限公司停车区业务</w:t>
      </w:r>
    </w:p>
    <w:p w14:paraId="009E2C15">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安全生产暨社会治安综合治理合同</w:t>
      </w:r>
    </w:p>
    <w:p w14:paraId="06CCDCCF">
      <w:pPr>
        <w:spacing w:line="240" w:lineRule="auto"/>
        <w:jc w:val="center"/>
        <w:rPr>
          <w:rFonts w:hint="eastAsia" w:ascii="宋体" w:hAnsi="宋体" w:eastAsia="宋体" w:cs="宋体"/>
          <w:color w:val="auto"/>
          <w:sz w:val="21"/>
          <w:szCs w:val="21"/>
          <w:highlight w:val="none"/>
        </w:rPr>
      </w:pPr>
    </w:p>
    <w:p w14:paraId="250C09B8">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甲方：温州市高速公路资产经营有限公司</w:t>
      </w:r>
    </w:p>
    <w:p w14:paraId="5D08128F">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住所地：</w:t>
      </w:r>
      <w:r>
        <w:rPr>
          <w:rFonts w:hint="eastAsia" w:ascii="宋体" w:hAnsi="宋体" w:eastAsia="宋体" w:cs="宋体"/>
          <w:color w:val="auto"/>
          <w:sz w:val="21"/>
          <w:szCs w:val="21"/>
          <w:highlight w:val="none"/>
          <w:shd w:val="clear" w:color="auto" w:fill="FFFFFF"/>
        </w:rPr>
        <w:t>浙</w:t>
      </w:r>
      <w:r>
        <w:rPr>
          <w:rFonts w:hint="eastAsia" w:ascii="宋体" w:hAnsi="宋体" w:eastAsia="宋体" w:cs="宋体"/>
          <w:color w:val="auto"/>
          <w:sz w:val="21"/>
          <w:szCs w:val="21"/>
          <w:highlight w:val="none"/>
        </w:rPr>
        <w:t>江省温州市机场大道5465号国大广场5楼</w:t>
      </w:r>
    </w:p>
    <w:p w14:paraId="48FB612D">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536F24C5">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住所地： </w:t>
      </w:r>
    </w:p>
    <w:p w14:paraId="15492D6E">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为贯彻“安全第一、预防为主、综合治理”的安全生产方针， 进一步加强</w:t>
      </w:r>
      <w:r>
        <w:rPr>
          <w:rFonts w:hint="eastAsia" w:ascii="宋体" w:hAnsi="宋体" w:eastAsia="宋体" w:cs="宋体"/>
          <w:color w:val="auto"/>
          <w:sz w:val="21"/>
          <w:szCs w:val="21"/>
          <w:highlight w:val="none"/>
          <w:lang w:eastAsia="zh-CN"/>
        </w:rPr>
        <w:t>停车区</w:t>
      </w:r>
      <w:r>
        <w:rPr>
          <w:rFonts w:hint="eastAsia" w:ascii="宋体" w:hAnsi="宋体" w:eastAsia="宋体" w:cs="宋体"/>
          <w:color w:val="auto"/>
          <w:sz w:val="21"/>
          <w:szCs w:val="21"/>
          <w:highlight w:val="none"/>
        </w:rPr>
        <w:t>的安全生产管理，根据《中华人民共和国安全生产法》、《中华人民共和国消防法》和《浙江省安全生产条例》等法律法规，结合</w:t>
      </w:r>
      <w:r>
        <w:rPr>
          <w:rFonts w:hint="eastAsia" w:ascii="宋体" w:hAnsi="宋体" w:eastAsia="宋体" w:cs="宋体"/>
          <w:color w:val="auto"/>
          <w:sz w:val="21"/>
          <w:szCs w:val="21"/>
          <w:highlight w:val="none"/>
          <w:lang w:eastAsia="zh-CN"/>
        </w:rPr>
        <w:t>停车区</w:t>
      </w:r>
      <w:r>
        <w:rPr>
          <w:rFonts w:hint="eastAsia" w:ascii="宋体" w:hAnsi="宋体" w:eastAsia="宋体" w:cs="宋体"/>
          <w:color w:val="auto"/>
          <w:sz w:val="21"/>
          <w:szCs w:val="21"/>
          <w:highlight w:val="none"/>
        </w:rPr>
        <w:t>内物业管理服务单位的具体情况，甲、乙双方经协商后签订本安全生产管理协议，约定各自的安全生产管理职责并严格执行：</w:t>
      </w:r>
    </w:p>
    <w:p w14:paraId="01CCCB45">
      <w:pPr>
        <w:numPr>
          <w:ilvl w:val="0"/>
          <w:numId w:val="23"/>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甲方将物业管理服务项目由乙方负责管理服务。</w:t>
      </w:r>
    </w:p>
    <w:p w14:paraId="128599E4">
      <w:pPr>
        <w:spacing w:line="240"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二、甲方的安全管理职责</w:t>
      </w:r>
    </w:p>
    <w:p w14:paraId="63BC6891">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14:paraId="6C507EBF">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1.严格遵守国家有关安全生产和社会综合治理法律法规、认真执行国家和行业标准，严格遵守合同中有关安全生产和社会综合治理的要求，履行合同约定的安全职责。</w:t>
      </w:r>
    </w:p>
    <w:p w14:paraId="4EAE2D24">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2.按照合同约定的安全工作内容监督检查乙方安全生产的实施，对乙方的日常安全生产、现场管理、消防安全等进行监督检查，发现安全隐患时，及时督促乙方整改。</w:t>
      </w:r>
    </w:p>
    <w:p w14:paraId="799D3327">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3.统一协调、管理</w:t>
      </w:r>
      <w:r>
        <w:rPr>
          <w:rFonts w:hint="eastAsia" w:ascii="宋体" w:hAnsi="宋体" w:eastAsia="宋体" w:cs="宋体"/>
          <w:color w:val="auto"/>
          <w:sz w:val="21"/>
          <w:szCs w:val="21"/>
          <w:highlight w:val="none"/>
          <w:lang w:eastAsia="zh-CN"/>
        </w:rPr>
        <w:t>停车区</w:t>
      </w:r>
      <w:r>
        <w:rPr>
          <w:rFonts w:hint="eastAsia" w:ascii="宋体" w:hAnsi="宋体" w:eastAsia="宋体" w:cs="宋体"/>
          <w:color w:val="auto"/>
          <w:sz w:val="21"/>
          <w:szCs w:val="21"/>
          <w:highlight w:val="none"/>
        </w:rPr>
        <w:t>内协助单位的安全生产和社会综合治理工作，履行统一管理的职责。</w:t>
      </w:r>
    </w:p>
    <w:p w14:paraId="4862528F">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7B2C3885">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5.甲方提供的建筑物、设备设施符合国家有关法律法规的规定，满足管理合同中规定管理范围的消防安全及安全生产条件。</w:t>
      </w:r>
    </w:p>
    <w:p w14:paraId="252EC170">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6.督促乙方依法设立安全生产和社会综治管理机构，配备相应安全管理人员。</w:t>
      </w:r>
    </w:p>
    <w:p w14:paraId="0FDC8245">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14:paraId="2E1D277D">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1.发现乙方不具备安全生产资质，甲方有权解除合同，由此造成的一切损失由乙方承担。</w:t>
      </w:r>
    </w:p>
    <w:p w14:paraId="2E85194C">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2.有权及时纠正制止乙方在生产作业中违章指挥、违规操作及违反劳动保护的行为。</w:t>
      </w:r>
    </w:p>
    <w:p w14:paraId="4DD1EB74">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二、乙方的安全管理职责</w:t>
      </w:r>
    </w:p>
    <w:p w14:paraId="1C50F471">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14:paraId="2468BE3D">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1.乙方是管理场所辖范围内安全生产和社会综合治理的责任主体，必须依法加强安全生产和社会综治管理，建立、健全安全生产和社会综治责任制，完善安全生产条件，确保安全生产。</w:t>
      </w:r>
    </w:p>
    <w:p w14:paraId="37BC1EC0">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2.严格遵守国家有关安全生产、社会综治、消防、职业卫生、环境保护等法律法规和国家、行业标准，具备相应的安全生产资质和条件，认真执行合同中有关安全生产的要求，按合同约定履行安全职责。</w:t>
      </w:r>
    </w:p>
    <w:p w14:paraId="0DA9B0BD">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3.服从甲方对安全生产和社会综治工作的统一协调、检查和监督。</w:t>
      </w:r>
    </w:p>
    <w:p w14:paraId="78755C53">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负责本单位从业人员的安全教育和培训，教育员工严格遵守安全管理制度和安全操作规程，做到国家规定应持证的工种持证上岗，并按规定进行年检和复审。新员工未经安全教育和培训，不得上岗。职工身体状况均必须满足国家、行业健康标准要求，严禁有职业禁忌症者及传染病者上岗。</w:t>
      </w:r>
    </w:p>
    <w:p w14:paraId="2B04878E">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6.积极参加甲方召开的安全生产会议和安全活动，接受甲方的安全生产监督检查，按照甲方的要求做好安全生产工作。</w:t>
      </w:r>
    </w:p>
    <w:p w14:paraId="2413CC1E">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7F08328B">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8.做好安全用电、用气、防汛防台、防中毒、防盗窃等工作，严禁在</w:t>
      </w:r>
      <w:r>
        <w:rPr>
          <w:rFonts w:hint="eastAsia" w:ascii="宋体" w:hAnsi="宋体" w:eastAsia="宋体" w:cs="宋体"/>
          <w:color w:val="auto"/>
          <w:sz w:val="21"/>
          <w:szCs w:val="21"/>
          <w:highlight w:val="none"/>
          <w:lang w:eastAsia="zh-CN"/>
        </w:rPr>
        <w:t>停车区</w:t>
      </w:r>
      <w:r>
        <w:rPr>
          <w:rFonts w:hint="eastAsia" w:ascii="宋体" w:hAnsi="宋体" w:eastAsia="宋体" w:cs="宋体"/>
          <w:color w:val="auto"/>
          <w:sz w:val="21"/>
          <w:szCs w:val="21"/>
          <w:highlight w:val="none"/>
        </w:rPr>
        <w:t>区域出现“三合一”场所，严禁私自改造建筑物结构和用电气线路，保持用电设施的完好，若发生旅客人身损害、财产损失事故的，均由乙方承担全部法律责任。</w:t>
      </w:r>
    </w:p>
    <w:p w14:paraId="44D4BC62">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9.按要求配备安全管理人员，全面负责管辖区域内的安全生产和社会综治管理，承担物业管理服务过程中的安全责任；加强日常管理，定期组织安全检查和开展隐患排查，及时发现、整改事故隐患或不安全因素。</w:t>
      </w:r>
      <w:r>
        <w:rPr>
          <w:rFonts w:hint="eastAsia" w:ascii="宋体" w:hAnsi="宋体" w:eastAsia="宋体" w:cs="宋体"/>
          <w:color w:val="auto"/>
          <w:sz w:val="21"/>
          <w:szCs w:val="21"/>
          <w:highlight w:val="none"/>
          <w:lang w:val="zh-CN"/>
        </w:rPr>
        <w:t>根据实际情况制订各类应急救援预案并组织演练。建立完善安全管理台账。</w:t>
      </w:r>
    </w:p>
    <w:p w14:paraId="01978FEB">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10.保证安全生产所需的必要投入，按规定配备劳动保护用品。依法为从业人员办理工伤保险。</w:t>
      </w:r>
    </w:p>
    <w:p w14:paraId="077A8F46">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11.对场所的装修和设备安装，须符合有关技术标准、消防安全规定和实际安全施工要求，不得改变建筑结构。使用场所的装修方案应事先征得甲方的同意，凡涉及国家规定需审查验收的，按规定办理。</w:t>
      </w:r>
    </w:p>
    <w:p w14:paraId="1C21ED71">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12.建立和完善内部安全管理制度，</w:t>
      </w:r>
      <w:r>
        <w:rPr>
          <w:rFonts w:hint="eastAsia" w:ascii="宋体" w:hAnsi="宋体" w:eastAsia="宋体" w:cs="宋体"/>
          <w:color w:val="auto"/>
          <w:sz w:val="21"/>
          <w:szCs w:val="21"/>
          <w:highlight w:val="none"/>
          <w:lang w:val="zh-CN"/>
        </w:rPr>
        <w:t>建立各岗位安全操作规程，</w:t>
      </w:r>
      <w:r>
        <w:rPr>
          <w:rFonts w:hint="eastAsia" w:ascii="宋体" w:hAnsi="宋体" w:eastAsia="宋体" w:cs="宋体"/>
          <w:color w:val="auto"/>
          <w:sz w:val="21"/>
          <w:szCs w:val="21"/>
          <w:highlight w:val="none"/>
        </w:rPr>
        <w:t>落实各岗位安全生产责任制。负责内部防火、用电、用气等安全检查。</w:t>
      </w:r>
    </w:p>
    <w:p w14:paraId="3AF8E9BD">
      <w:pPr>
        <w:autoSpaceDE w:val="0"/>
        <w:autoSpaceDN w:val="0"/>
        <w:adjustRightInd w:val="0"/>
        <w:spacing w:line="24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13.发生安全事故或突发事件的，应立即向甲方及政府相关部门报告，并保护好现场，及时组织抢救，防止事态扩大。并积极配合相关部门做好事故的调查和处理。</w:t>
      </w:r>
    </w:p>
    <w:p w14:paraId="3F00115E">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14.未经甲方书面同意，不得擅自转借场所。</w:t>
      </w:r>
    </w:p>
    <w:p w14:paraId="7ED7D112">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14:paraId="7B165690">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1.对甲方违章指挥、强令冒险作业的指令，有权拒绝执行。</w:t>
      </w:r>
    </w:p>
    <w:p w14:paraId="628796B5">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2.有权向甲方提出安全生产和社会综治合理化建议和改进意见</w:t>
      </w:r>
    </w:p>
    <w:p w14:paraId="3C92CD4D">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3.在生产活动中发生危及乙方人员生命安全的紧急情况时，作业人员有权立即停止作业或者在采取必要的应急措施后撤离危险区域。</w:t>
      </w:r>
    </w:p>
    <w:p w14:paraId="3E25543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三、其他条款</w:t>
      </w:r>
    </w:p>
    <w:p w14:paraId="72A2D0C9">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（一）履约保证金条款</w:t>
      </w:r>
    </w:p>
    <w:p w14:paraId="3BD74C50">
      <w:pPr>
        <w:spacing w:line="240" w:lineRule="auto"/>
        <w:ind w:firstLine="525" w:firstLineChars="2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1.履约保证金还用于合同期内的安全管理。对乙方安全管理不到位、不服从甲方安全管理的，甲方有权从履约保证金内扣除，用做本场所的安全生产管理工作。</w:t>
      </w:r>
    </w:p>
    <w:p w14:paraId="36A06EF3">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2.乙方出现违反安全协议约定情形的，甲方有权按每次人民币1000—10000 元，从履约保证金中扣除。</w:t>
      </w:r>
    </w:p>
    <w:p w14:paraId="4DC32AA5">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3.乙方在合同期内发生责任死亡事故的，甲方有权对乙方处以人民币5～10万元/人的处罚。</w:t>
      </w:r>
    </w:p>
    <w:p w14:paraId="25A3C35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（二）安全生产责任风险的承担</w:t>
      </w:r>
    </w:p>
    <w:p w14:paraId="54FB4A9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1.因乙方原因造成生产安全事故、消防事故、治安案件或因违法管理等造成不良影响的，一切法律责任、经济责任和管理责任均由乙方负责。</w:t>
      </w:r>
    </w:p>
    <w:p w14:paraId="0468E29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2.在合同期间，在乙方场所发生的安全事故或造成人身财产损害的，由乙方承担经济与法律责任，与甲方无涉，给甲方造成不良社会影响的，甲方有权要求乙方进行赔偿。</w:t>
      </w:r>
    </w:p>
    <w:p w14:paraId="6748BAA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3.在合同期间，乙方及其工作人员发生伤亡事故，乙方承担经济及相关法律责任，与甲方无涉。</w:t>
      </w:r>
    </w:p>
    <w:p w14:paraId="1B96A37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四、本合同的签订作为甲、乙双方于年月日签订的</w:t>
      </w:r>
      <w:r>
        <w:rPr>
          <w:rFonts w:hint="eastAsia" w:ascii="宋体" w:hAnsi="宋体" w:eastAsia="宋体" w:cs="宋体"/>
          <w:color w:val="auto"/>
          <w:sz w:val="21"/>
          <w:szCs w:val="21"/>
          <w:highlight w:val="none"/>
          <w:u w:val="single"/>
        </w:rPr>
        <w:t>《物业管理服务合同》</w:t>
      </w:r>
      <w:r>
        <w:rPr>
          <w:rFonts w:hint="eastAsia" w:ascii="宋体" w:hAnsi="宋体" w:eastAsia="宋体" w:cs="宋体"/>
          <w:color w:val="auto"/>
          <w:sz w:val="21"/>
          <w:szCs w:val="21"/>
          <w:highlight w:val="none"/>
        </w:rPr>
        <w:t>的附件，与主合同具有同等法律效力。</w:t>
      </w:r>
    </w:p>
    <w:p w14:paraId="3D0A9F80">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五、本合同经甲、乙双方签字盖章后生效。</w:t>
      </w:r>
    </w:p>
    <w:p w14:paraId="6632B73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六、本合同一式肆份，合同双方各执两份，每份具有同等法律效力。</w:t>
      </w:r>
    </w:p>
    <w:p w14:paraId="3BB15F59">
      <w:pPr>
        <w:snapToGrid w:val="0"/>
        <w:spacing w:line="240" w:lineRule="auto"/>
        <w:ind w:firstLine="315" w:firstLineChars="150"/>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（以下无正文）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4"/>
        <w:gridCol w:w="4554"/>
      </w:tblGrid>
      <w:tr w14:paraId="7F78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4" w:type="dxa"/>
          </w:tcPr>
          <w:p w14:paraId="06DCCE74">
            <w:pPr>
              <w:pStyle w:val="12"/>
              <w:spacing w:line="48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甲方（盖章）：</w:t>
            </w:r>
            <w:r>
              <w:rPr>
                <w:rFonts w:hint="eastAsia" w:ascii="宋体" w:hAnsi="宋体" w:eastAsia="宋体" w:cs="宋体"/>
                <w:color w:val="auto"/>
                <w:sz w:val="21"/>
                <w:szCs w:val="21"/>
                <w:highlight w:val="none"/>
              </w:rPr>
              <w:t>温州市高速公路资产经营</w:t>
            </w:r>
            <w:r>
              <w:rPr>
                <w:rFonts w:hint="eastAsia" w:ascii="宋体" w:hAnsi="宋体" w:eastAsia="宋体" w:cs="宋体"/>
                <w:color w:val="auto"/>
                <w:sz w:val="21"/>
                <w:szCs w:val="21"/>
                <w:highlight w:val="none"/>
                <w:lang w:val="en-GB"/>
              </w:rPr>
              <w:t>有限公司</w:t>
            </w:r>
          </w:p>
          <w:p w14:paraId="0B4EED67">
            <w:pPr>
              <w:pStyle w:val="12"/>
              <w:spacing w:line="48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负责人（或授权代表）：</w:t>
            </w:r>
          </w:p>
        </w:tc>
        <w:tc>
          <w:tcPr>
            <w:tcW w:w="4554" w:type="dxa"/>
            <w:shd w:val="clear" w:color="auto" w:fill="auto"/>
            <w:vAlign w:val="top"/>
          </w:tcPr>
          <w:p w14:paraId="328591F7">
            <w:pPr>
              <w:pStyle w:val="12"/>
              <w:spacing w:line="48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lang w:val="en-GB"/>
              </w:rPr>
              <w:t>方（盖章）：</w:t>
            </w:r>
          </w:p>
          <w:p w14:paraId="007C566D">
            <w:pPr>
              <w:pStyle w:val="12"/>
              <w:spacing w:line="480" w:lineRule="auto"/>
              <w:ind w:left="426" w:leftChars="0" w:right="-11" w:rightChars="0" w:hanging="426" w:hangingChars="203"/>
              <w:rPr>
                <w:rFonts w:hint="eastAsia" w:ascii="宋体" w:hAnsi="宋体" w:eastAsia="宋体" w:cs="宋体"/>
                <w:color w:val="auto"/>
                <w:kern w:val="2"/>
                <w:sz w:val="21"/>
                <w:szCs w:val="21"/>
                <w:highlight w:val="none"/>
                <w:lang w:val="en-GB" w:eastAsia="zh-CN" w:bidi="ar-SA"/>
              </w:rPr>
            </w:pPr>
            <w:r>
              <w:rPr>
                <w:rFonts w:hint="eastAsia" w:ascii="宋体" w:hAnsi="宋体" w:eastAsia="宋体" w:cs="宋体"/>
                <w:color w:val="auto"/>
                <w:sz w:val="21"/>
                <w:szCs w:val="21"/>
                <w:highlight w:val="none"/>
                <w:lang w:val="en-GB"/>
              </w:rPr>
              <w:t>负责人（或授权代表）：</w:t>
            </w:r>
          </w:p>
        </w:tc>
      </w:tr>
    </w:tbl>
    <w:p w14:paraId="17C57092">
      <w:pPr>
        <w:autoSpaceDE/>
        <w:autoSpaceDN/>
        <w:adjustRightInd/>
        <w:snapToGrid w:val="0"/>
        <w:spacing w:line="24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日</w:t>
      </w:r>
    </w:p>
    <w:p w14:paraId="0048231A">
      <w:pPr>
        <w:autoSpaceDE w:val="0"/>
        <w:autoSpaceDN w:val="0"/>
        <w:adjustRightInd w:val="0"/>
        <w:spacing w:line="240" w:lineRule="auto"/>
        <w:jc w:val="left"/>
        <w:outlineLvl w:val="0"/>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30"/>
          <w:szCs w:val="30"/>
          <w:highlight w:val="none"/>
        </w:rPr>
        <w:t xml:space="preserve">附件三 </w:t>
      </w:r>
      <w:r>
        <w:rPr>
          <w:rFonts w:hint="eastAsia" w:ascii="宋体" w:hAnsi="宋体" w:eastAsia="宋体" w:cs="宋体"/>
          <w:b/>
          <w:bCs/>
          <w:color w:val="auto"/>
          <w:sz w:val="30"/>
          <w:szCs w:val="30"/>
          <w:highlight w:val="none"/>
          <w:lang w:eastAsia="zh-CN"/>
        </w:rPr>
        <w:t>停车区</w:t>
      </w:r>
      <w:r>
        <w:rPr>
          <w:rFonts w:hint="eastAsia" w:ascii="宋体" w:hAnsi="宋体" w:eastAsia="宋体" w:cs="宋体"/>
          <w:b/>
          <w:bCs/>
          <w:color w:val="auto"/>
          <w:sz w:val="30"/>
          <w:szCs w:val="30"/>
          <w:highlight w:val="none"/>
        </w:rPr>
        <w:t>物业管理质量标准（以甲方下发的最新版本为准）</w:t>
      </w:r>
    </w:p>
    <w:p w14:paraId="58971594">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p>
    <w:p w14:paraId="086E143F">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停车区物业人员派驻要求</w:t>
      </w:r>
    </w:p>
    <w:p w14:paraId="1D6BAB31">
      <w:pPr>
        <w:pStyle w:val="12"/>
        <w:rPr>
          <w:rFonts w:hint="eastAsia" w:ascii="宋体" w:hAnsi="宋体" w:eastAsia="宋体" w:cs="宋体"/>
          <w:lang w:val="zh-CN"/>
        </w:rPr>
      </w:pPr>
    </w:p>
    <w:p w14:paraId="7ED12E85">
      <w:pPr>
        <w:spacing w:line="240" w:lineRule="auto"/>
        <w:ind w:firstLine="527" w:firstLineChars="2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一、派驻</w:t>
      </w:r>
      <w:r>
        <w:rPr>
          <w:rFonts w:hint="eastAsia" w:ascii="宋体" w:hAnsi="宋体" w:eastAsia="宋体" w:cs="宋体"/>
          <w:b/>
          <w:bCs/>
          <w:color w:val="auto"/>
          <w:sz w:val="21"/>
          <w:szCs w:val="21"/>
          <w:highlight w:val="none"/>
          <w:lang w:eastAsia="zh-CN"/>
        </w:rPr>
        <w:t>停车区</w:t>
      </w:r>
      <w:r>
        <w:rPr>
          <w:rFonts w:hint="eastAsia" w:ascii="宋体" w:hAnsi="宋体" w:eastAsia="宋体" w:cs="宋体"/>
          <w:b/>
          <w:bCs/>
          <w:color w:val="auto"/>
          <w:sz w:val="21"/>
          <w:szCs w:val="21"/>
          <w:highlight w:val="none"/>
        </w:rPr>
        <w:t>相关物业人员应具备以下条件</w:t>
      </w:r>
    </w:p>
    <w:p w14:paraId="757910B8">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（一）具备良好的道德品德，无违法违纪行为的不良记录；</w:t>
      </w:r>
    </w:p>
    <w:p w14:paraId="0FBD6CB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（二）热爱高速公路</w:t>
      </w:r>
      <w:r>
        <w:rPr>
          <w:rFonts w:hint="eastAsia" w:ascii="宋体" w:hAnsi="宋体" w:eastAsia="宋体" w:cs="宋体"/>
          <w:color w:val="auto"/>
          <w:sz w:val="21"/>
          <w:szCs w:val="21"/>
          <w:highlight w:val="none"/>
          <w:lang w:eastAsia="zh-CN"/>
        </w:rPr>
        <w:t>停车区</w:t>
      </w:r>
      <w:r>
        <w:rPr>
          <w:rFonts w:hint="eastAsia" w:ascii="宋体" w:hAnsi="宋体" w:eastAsia="宋体" w:cs="宋体"/>
          <w:color w:val="auto"/>
          <w:sz w:val="21"/>
          <w:szCs w:val="21"/>
          <w:highlight w:val="none"/>
        </w:rPr>
        <w:t>行业，具有吃苦耐劳精神；</w:t>
      </w:r>
    </w:p>
    <w:p w14:paraId="7862AFF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（三）身体健康，无传染性疾病，能适应工作岗位要求；</w:t>
      </w:r>
    </w:p>
    <w:p w14:paraId="444DBF3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（四）具备岗位要求的相关业务技能，取得相应技能证书。</w:t>
      </w:r>
    </w:p>
    <w:p w14:paraId="5C443FA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（五）与乙方依法签订了劳动合同。</w:t>
      </w:r>
    </w:p>
    <w:p w14:paraId="1B453CC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（六）具体岗位要求</w:t>
      </w:r>
    </w:p>
    <w:p w14:paraId="26361D6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1、项目经理岗位：高中以上文化程度，年龄在30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14:paraId="07C6489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、水电工岗位：</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中以上文化程度，男性，22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55岁，持有相关专业上岗证件（国家职业资格证书），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年以上相关工作经验，具备业务实施能力和良好的服务意识、注重服务细节。</w:t>
      </w:r>
    </w:p>
    <w:p w14:paraId="0F59098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bidi="ar"/>
        </w:rPr>
        <w:t>保安（</w:t>
      </w:r>
      <w:r>
        <w:rPr>
          <w:rFonts w:hint="eastAsia" w:ascii="宋体" w:hAnsi="宋体" w:eastAsia="宋体" w:cs="宋体"/>
          <w:color w:val="auto"/>
          <w:sz w:val="21"/>
          <w:szCs w:val="21"/>
          <w:highlight w:val="none"/>
          <w:lang w:val="en-US" w:eastAsia="zh-CN" w:bidi="ar"/>
        </w:rPr>
        <w:t>含保安队长</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初中以上文化程度，男性，20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，身高1.6</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米以上，无近视，具有较强的安保和消防知识，</w:t>
      </w:r>
      <w:r>
        <w:rPr>
          <w:rFonts w:hint="eastAsia" w:ascii="宋体" w:hAnsi="宋体" w:eastAsia="宋体" w:cs="宋体"/>
          <w:color w:val="auto"/>
          <w:sz w:val="21"/>
          <w:szCs w:val="21"/>
          <w:highlight w:val="none"/>
          <w:lang w:val="en-US" w:eastAsia="zh-CN"/>
        </w:rPr>
        <w:t>退伍军人优先考虑，具有保安员资格证，</w:t>
      </w:r>
      <w:r>
        <w:rPr>
          <w:rFonts w:hint="eastAsia" w:ascii="宋体" w:hAnsi="宋体" w:eastAsia="宋体" w:cs="宋体"/>
          <w:color w:val="auto"/>
          <w:sz w:val="21"/>
          <w:szCs w:val="21"/>
          <w:highlight w:val="none"/>
        </w:rPr>
        <w:t>一年以上安保工作经验，应变能力强、能吃苦耐劳。</w:t>
      </w:r>
    </w:p>
    <w:p w14:paraId="473ED7C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保洁员：</w:t>
      </w:r>
      <w:r>
        <w:rPr>
          <w:rFonts w:hint="eastAsia" w:ascii="宋体" w:hAnsi="宋体" w:eastAsia="宋体" w:cs="宋体"/>
          <w:color w:val="auto"/>
          <w:sz w:val="21"/>
          <w:szCs w:val="21"/>
          <w:highlight w:val="none"/>
          <w:lang w:val="en-US" w:eastAsia="zh-CN" w:bidi="ar"/>
        </w:rPr>
        <w:t>男性20～</w:t>
      </w:r>
      <w:r>
        <w:rPr>
          <w:rFonts w:hint="eastAsia" w:ascii="宋体" w:hAnsi="宋体" w:eastAsia="宋体" w:cs="宋体"/>
          <w:color w:val="auto"/>
          <w:sz w:val="21"/>
          <w:szCs w:val="21"/>
          <w:highlight w:val="none"/>
        </w:rPr>
        <w:t>55岁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女性20</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rPr>
        <w:t>50岁，特别优秀的经甲方同意可适当放宽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具备一定文化程度，会讲普通话，具有1年以上相关工作经验，五官端正，工作勤奋，具有服务意识、注重服务细节，具备吃苦耐劳的精神。</w:t>
      </w:r>
    </w:p>
    <w:p w14:paraId="76749A55">
      <w:pPr>
        <w:spacing w:line="240" w:lineRule="auto"/>
        <w:ind w:firstLine="420" w:firstLineChars="200"/>
        <w:rPr>
          <w:rFonts w:hint="eastAsia" w:ascii="宋体" w:hAnsi="宋体" w:eastAsia="宋体" w:cs="宋体"/>
          <w:highlight w:val="none"/>
          <w:lang w:val="en-US" w:eastAsia="zh-CN"/>
        </w:rPr>
      </w:pPr>
    </w:p>
    <w:p w14:paraId="78EAD1A1">
      <w:pPr>
        <w:pStyle w:val="12"/>
        <w:spacing w:line="240" w:lineRule="auto"/>
        <w:ind w:left="0" w:leftChars="0" w:firstLine="0" w:firstLineChars="0"/>
        <w:rPr>
          <w:rFonts w:hint="eastAsia" w:ascii="宋体" w:hAnsi="宋体" w:eastAsia="宋体" w:cs="宋体"/>
          <w:color w:val="auto"/>
          <w:sz w:val="21"/>
          <w:szCs w:val="21"/>
          <w:highlight w:val="none"/>
          <w:lang w:val="zh-CN"/>
        </w:rPr>
      </w:pPr>
    </w:p>
    <w:p w14:paraId="1697F974">
      <w:pPr>
        <w:jc w:val="center"/>
        <w:rPr>
          <w:rFonts w:hint="eastAsia" w:ascii="宋体" w:hAnsi="宋体" w:eastAsia="宋体" w:cs="宋体"/>
          <w:b/>
          <w:bCs w:val="0"/>
          <w:color w:val="auto"/>
          <w:sz w:val="24"/>
          <w:szCs w:val="24"/>
          <w:highlight w:val="none"/>
          <w:lang w:val="zh-CN"/>
        </w:rPr>
      </w:pPr>
    </w:p>
    <w:p w14:paraId="68F29AFC">
      <w:pPr>
        <w:jc w:val="center"/>
        <w:rPr>
          <w:rFonts w:hint="eastAsia" w:ascii="宋体" w:hAnsi="宋体" w:eastAsia="宋体" w:cs="宋体"/>
          <w:b/>
          <w:bCs w:val="0"/>
          <w:color w:val="auto"/>
          <w:sz w:val="24"/>
          <w:szCs w:val="24"/>
          <w:highlight w:val="none"/>
          <w:lang w:val="zh-CN"/>
        </w:rPr>
      </w:pPr>
    </w:p>
    <w:p w14:paraId="536C5F00">
      <w:pPr>
        <w:jc w:val="center"/>
        <w:rPr>
          <w:rFonts w:hint="eastAsia" w:ascii="宋体" w:hAnsi="宋体" w:eastAsia="宋体" w:cs="宋体"/>
          <w:b/>
          <w:bCs w:val="0"/>
          <w:color w:val="auto"/>
          <w:sz w:val="24"/>
          <w:szCs w:val="24"/>
          <w:highlight w:val="none"/>
          <w:lang w:val="zh-CN"/>
        </w:rPr>
      </w:pPr>
    </w:p>
    <w:p w14:paraId="058A2614">
      <w:pPr>
        <w:jc w:val="center"/>
        <w:rPr>
          <w:rFonts w:hint="eastAsia" w:ascii="宋体" w:hAnsi="宋体" w:eastAsia="宋体" w:cs="宋体"/>
          <w:b/>
          <w:bCs w:val="0"/>
          <w:color w:val="auto"/>
          <w:sz w:val="24"/>
          <w:szCs w:val="24"/>
          <w:highlight w:val="none"/>
          <w:lang w:val="zh-CN"/>
        </w:rPr>
      </w:pPr>
    </w:p>
    <w:p w14:paraId="40D07BFE">
      <w:pPr>
        <w:jc w:val="center"/>
        <w:rPr>
          <w:rFonts w:hint="eastAsia" w:ascii="宋体" w:hAnsi="宋体" w:eastAsia="宋体" w:cs="宋体"/>
          <w:b/>
          <w:bCs w:val="0"/>
          <w:color w:val="auto"/>
          <w:sz w:val="24"/>
          <w:szCs w:val="24"/>
          <w:highlight w:val="none"/>
          <w:lang w:val="zh-CN"/>
        </w:rPr>
      </w:pPr>
    </w:p>
    <w:p w14:paraId="757C9EE5">
      <w:pPr>
        <w:jc w:val="center"/>
        <w:rPr>
          <w:rFonts w:hint="eastAsia" w:ascii="宋体" w:hAnsi="宋体" w:eastAsia="宋体" w:cs="宋体"/>
          <w:b/>
          <w:bCs w:val="0"/>
          <w:color w:val="auto"/>
          <w:sz w:val="24"/>
          <w:szCs w:val="24"/>
          <w:highlight w:val="none"/>
          <w:lang w:val="zh-CN"/>
        </w:rPr>
      </w:pPr>
    </w:p>
    <w:p w14:paraId="7404068C">
      <w:pPr>
        <w:jc w:val="center"/>
        <w:rPr>
          <w:rFonts w:hint="eastAsia" w:ascii="宋体" w:hAnsi="宋体" w:eastAsia="宋体" w:cs="宋体"/>
          <w:b/>
          <w:bCs w:val="0"/>
          <w:color w:val="auto"/>
          <w:sz w:val="24"/>
          <w:szCs w:val="24"/>
          <w:highlight w:val="none"/>
          <w:lang w:val="zh-CN"/>
        </w:rPr>
      </w:pPr>
    </w:p>
    <w:p w14:paraId="73D12382">
      <w:pPr>
        <w:jc w:val="center"/>
        <w:rPr>
          <w:rFonts w:hint="eastAsia" w:ascii="宋体" w:hAnsi="宋体" w:eastAsia="宋体" w:cs="宋体"/>
          <w:b/>
          <w:bCs w:val="0"/>
          <w:color w:val="auto"/>
          <w:sz w:val="24"/>
          <w:szCs w:val="24"/>
          <w:highlight w:val="none"/>
          <w:lang w:val="zh-CN"/>
        </w:rPr>
      </w:pPr>
    </w:p>
    <w:p w14:paraId="0A40A443">
      <w:pPr>
        <w:jc w:val="center"/>
        <w:rPr>
          <w:rFonts w:hint="eastAsia" w:ascii="宋体" w:hAnsi="宋体" w:eastAsia="宋体" w:cs="宋体"/>
          <w:b/>
          <w:bCs w:val="0"/>
          <w:color w:val="auto"/>
          <w:sz w:val="24"/>
          <w:szCs w:val="24"/>
          <w:highlight w:val="none"/>
          <w:lang w:val="zh-CN"/>
        </w:rPr>
      </w:pPr>
    </w:p>
    <w:p w14:paraId="61678D65">
      <w:pPr>
        <w:jc w:val="center"/>
        <w:rPr>
          <w:rFonts w:hint="eastAsia" w:ascii="宋体" w:hAnsi="宋体" w:eastAsia="宋体" w:cs="宋体"/>
          <w:b/>
          <w:bCs w:val="0"/>
          <w:color w:val="auto"/>
          <w:sz w:val="24"/>
          <w:szCs w:val="24"/>
          <w:highlight w:val="none"/>
          <w:lang w:val="zh-CN"/>
        </w:rPr>
      </w:pPr>
    </w:p>
    <w:p w14:paraId="31C52E6B">
      <w:pPr>
        <w:jc w:val="center"/>
        <w:rPr>
          <w:rFonts w:hint="eastAsia" w:ascii="宋体" w:hAnsi="宋体" w:eastAsia="宋体" w:cs="宋体"/>
          <w:b/>
          <w:bCs w:val="0"/>
          <w:color w:val="auto"/>
          <w:sz w:val="24"/>
          <w:szCs w:val="24"/>
          <w:highlight w:val="none"/>
          <w:lang w:val="zh-CN"/>
        </w:rPr>
      </w:pPr>
    </w:p>
    <w:p w14:paraId="429647F6">
      <w:pPr>
        <w:jc w:val="center"/>
        <w:rPr>
          <w:rFonts w:hint="eastAsia" w:ascii="宋体" w:hAnsi="宋体" w:eastAsia="宋体" w:cs="宋体"/>
          <w:b/>
          <w:bCs w:val="0"/>
          <w:color w:val="auto"/>
          <w:sz w:val="24"/>
          <w:szCs w:val="24"/>
          <w:highlight w:val="none"/>
          <w:lang w:val="zh-CN"/>
        </w:rPr>
      </w:pPr>
    </w:p>
    <w:p w14:paraId="456C8E97">
      <w:pPr>
        <w:jc w:val="center"/>
        <w:rPr>
          <w:rFonts w:hint="eastAsia" w:ascii="宋体" w:hAnsi="宋体" w:eastAsia="宋体" w:cs="宋体"/>
          <w:b/>
          <w:bCs w:val="0"/>
          <w:color w:val="auto"/>
          <w:sz w:val="24"/>
          <w:szCs w:val="24"/>
          <w:highlight w:val="none"/>
          <w:lang w:val="zh-CN"/>
        </w:rPr>
      </w:pPr>
    </w:p>
    <w:p w14:paraId="71C8DA6D">
      <w:pPr>
        <w:jc w:val="center"/>
        <w:rPr>
          <w:rFonts w:hint="eastAsia" w:ascii="宋体" w:hAnsi="宋体" w:eastAsia="宋体" w:cs="宋体"/>
          <w:b/>
          <w:bCs w:val="0"/>
          <w:color w:val="auto"/>
          <w:sz w:val="24"/>
          <w:szCs w:val="24"/>
          <w:highlight w:val="none"/>
          <w:lang w:val="zh-CN"/>
        </w:rPr>
      </w:pPr>
    </w:p>
    <w:p w14:paraId="701CC853">
      <w:pPr>
        <w:jc w:val="center"/>
        <w:rPr>
          <w:rFonts w:hint="eastAsia" w:ascii="宋体" w:hAnsi="宋体" w:eastAsia="宋体" w:cs="宋体"/>
          <w:b/>
          <w:bCs w:val="0"/>
          <w:color w:val="auto"/>
          <w:sz w:val="24"/>
          <w:szCs w:val="24"/>
          <w:highlight w:val="none"/>
          <w:lang w:val="zh-CN"/>
        </w:rPr>
      </w:pPr>
    </w:p>
    <w:p w14:paraId="4ED39355">
      <w:pPr>
        <w:jc w:val="center"/>
        <w:rPr>
          <w:rFonts w:hint="eastAsia" w:ascii="宋体" w:hAnsi="宋体" w:eastAsia="宋体" w:cs="宋体"/>
          <w:b/>
          <w:bCs w:val="0"/>
          <w:color w:val="auto"/>
          <w:sz w:val="24"/>
          <w:szCs w:val="24"/>
          <w:highlight w:val="none"/>
          <w:lang w:val="zh-CN"/>
        </w:rPr>
      </w:pPr>
    </w:p>
    <w:p w14:paraId="7F490EEC">
      <w:pPr>
        <w:jc w:val="center"/>
        <w:rPr>
          <w:rFonts w:hint="eastAsia" w:ascii="宋体" w:hAnsi="宋体" w:eastAsia="宋体" w:cs="宋体"/>
          <w:b/>
          <w:bCs w:val="0"/>
          <w:color w:val="auto"/>
          <w:sz w:val="24"/>
          <w:szCs w:val="24"/>
          <w:highlight w:val="none"/>
          <w:lang w:val="zh-CN"/>
        </w:rPr>
      </w:pPr>
    </w:p>
    <w:p w14:paraId="3A586EB1">
      <w:pPr>
        <w:shd w:val="clear" w:color="auto" w:fill="auto"/>
        <w:autoSpaceDE w:val="0"/>
        <w:autoSpaceDN w:val="0"/>
        <w:adjustRightInd w:val="0"/>
        <w:jc w:val="center"/>
        <w:rPr>
          <w:rFonts w:hint="eastAsia" w:ascii="宋体" w:hAnsi="宋体" w:eastAsia="宋体" w:cs="宋体"/>
          <w:b/>
          <w:color w:val="auto"/>
          <w:sz w:val="36"/>
          <w:szCs w:val="36"/>
          <w:highlight w:val="none"/>
          <w:lang w:val="zh-CN"/>
        </w:rPr>
      </w:pPr>
      <w:r>
        <w:rPr>
          <w:rFonts w:hint="eastAsia" w:ascii="宋体" w:hAnsi="宋体" w:eastAsia="宋体" w:cs="宋体"/>
          <w:b/>
          <w:color w:val="auto"/>
          <w:sz w:val="28"/>
          <w:szCs w:val="28"/>
          <w:highlight w:val="none"/>
          <w:lang w:val="zh-CN"/>
        </w:rPr>
        <w:t>停车区保安工作量化标准</w:t>
      </w:r>
    </w:p>
    <w:tbl>
      <w:tblPr>
        <w:tblStyle w:val="24"/>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34"/>
        <w:gridCol w:w="792"/>
        <w:gridCol w:w="794"/>
        <w:gridCol w:w="793"/>
        <w:gridCol w:w="794"/>
        <w:gridCol w:w="794"/>
        <w:gridCol w:w="4374"/>
      </w:tblGrid>
      <w:tr w14:paraId="5E02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1409" w:type="dxa"/>
            <w:gridSpan w:val="2"/>
            <w:vMerge w:val="restart"/>
            <w:noWrap w:val="0"/>
            <w:vAlign w:val="center"/>
          </w:tcPr>
          <w:p w14:paraId="4E5E3ED6">
            <w:pPr>
              <w:shd w:val="clear" w:color="auto" w:fill="auto"/>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3967" w:type="dxa"/>
            <w:gridSpan w:val="5"/>
            <w:noWrap w:val="0"/>
            <w:vAlign w:val="center"/>
          </w:tcPr>
          <w:p w14:paraId="1755A3AC">
            <w:pPr>
              <w:shd w:val="clear" w:color="auto" w:fill="auto"/>
              <w:spacing w:line="240" w:lineRule="auto"/>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频次</w:t>
            </w:r>
          </w:p>
        </w:tc>
        <w:tc>
          <w:tcPr>
            <w:tcW w:w="4374" w:type="dxa"/>
            <w:vMerge w:val="restart"/>
            <w:noWrap w:val="0"/>
            <w:vAlign w:val="center"/>
          </w:tcPr>
          <w:p w14:paraId="5C6CB5CB">
            <w:pPr>
              <w:pStyle w:val="14"/>
              <w:shd w:val="clear" w:color="auto" w:fill="auto"/>
              <w:spacing w:line="240" w:lineRule="auto"/>
              <w:ind w:left="5250" w:firstLine="4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w:t>
            </w:r>
          </w:p>
        </w:tc>
      </w:tr>
      <w:tr w14:paraId="51D7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1409" w:type="dxa"/>
            <w:gridSpan w:val="2"/>
            <w:vMerge w:val="continue"/>
            <w:noWrap w:val="0"/>
            <w:vAlign w:val="center"/>
          </w:tcPr>
          <w:p w14:paraId="1980C47F">
            <w:pPr>
              <w:shd w:val="clear" w:color="auto" w:fill="auto"/>
              <w:spacing w:line="240" w:lineRule="auto"/>
              <w:ind w:firstLine="420"/>
              <w:rPr>
                <w:rFonts w:hint="eastAsia" w:ascii="宋体" w:hAnsi="宋体" w:eastAsia="宋体" w:cs="宋体"/>
                <w:color w:val="auto"/>
                <w:sz w:val="18"/>
                <w:szCs w:val="18"/>
                <w:highlight w:val="none"/>
              </w:rPr>
            </w:pPr>
          </w:p>
        </w:tc>
        <w:tc>
          <w:tcPr>
            <w:tcW w:w="792" w:type="dxa"/>
            <w:noWrap w:val="0"/>
            <w:vAlign w:val="center"/>
          </w:tcPr>
          <w:p w14:paraId="6D894951">
            <w:pPr>
              <w:shd w:val="clear" w:color="auto" w:fill="auto"/>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日</w:t>
            </w:r>
          </w:p>
        </w:tc>
        <w:tc>
          <w:tcPr>
            <w:tcW w:w="794" w:type="dxa"/>
            <w:noWrap w:val="0"/>
            <w:vAlign w:val="center"/>
          </w:tcPr>
          <w:p w14:paraId="70255BAE">
            <w:pPr>
              <w:shd w:val="clear" w:color="auto" w:fill="auto"/>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周</w:t>
            </w:r>
          </w:p>
        </w:tc>
        <w:tc>
          <w:tcPr>
            <w:tcW w:w="793" w:type="dxa"/>
            <w:noWrap w:val="0"/>
            <w:vAlign w:val="center"/>
          </w:tcPr>
          <w:p w14:paraId="52329420">
            <w:pPr>
              <w:shd w:val="clear" w:color="auto" w:fill="auto"/>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月</w:t>
            </w:r>
          </w:p>
        </w:tc>
        <w:tc>
          <w:tcPr>
            <w:tcW w:w="794" w:type="dxa"/>
            <w:noWrap w:val="0"/>
            <w:vAlign w:val="center"/>
          </w:tcPr>
          <w:p w14:paraId="65BD0A83">
            <w:pPr>
              <w:shd w:val="clear" w:color="auto" w:fill="auto"/>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季</w:t>
            </w:r>
          </w:p>
        </w:tc>
        <w:tc>
          <w:tcPr>
            <w:tcW w:w="794" w:type="dxa"/>
            <w:noWrap w:val="0"/>
            <w:vAlign w:val="center"/>
          </w:tcPr>
          <w:p w14:paraId="01C4F6D5">
            <w:pPr>
              <w:shd w:val="clear" w:color="auto" w:fill="auto"/>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年</w:t>
            </w:r>
          </w:p>
        </w:tc>
        <w:tc>
          <w:tcPr>
            <w:tcW w:w="4374" w:type="dxa"/>
            <w:vMerge w:val="continue"/>
            <w:noWrap w:val="0"/>
            <w:vAlign w:val="center"/>
          </w:tcPr>
          <w:p w14:paraId="51257F30">
            <w:pPr>
              <w:pStyle w:val="14"/>
              <w:shd w:val="clear" w:color="auto" w:fill="auto"/>
              <w:spacing w:line="240" w:lineRule="auto"/>
              <w:ind w:left="5250" w:firstLine="420"/>
              <w:rPr>
                <w:rFonts w:hint="eastAsia" w:ascii="宋体" w:hAnsi="宋体" w:eastAsia="宋体" w:cs="宋体"/>
                <w:color w:val="auto"/>
                <w:sz w:val="18"/>
                <w:szCs w:val="18"/>
                <w:highlight w:val="none"/>
              </w:rPr>
            </w:pPr>
          </w:p>
        </w:tc>
      </w:tr>
      <w:tr w14:paraId="2891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475" w:type="dxa"/>
            <w:vMerge w:val="restart"/>
            <w:noWrap w:val="0"/>
            <w:vAlign w:val="center"/>
          </w:tcPr>
          <w:p w14:paraId="01A8D073">
            <w:pPr>
              <w:pStyle w:val="14"/>
              <w:shd w:val="clear" w:color="auto" w:fill="auto"/>
              <w:spacing w:line="240" w:lineRule="auto"/>
              <w:ind w:left="52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公共秩序</w:t>
            </w:r>
          </w:p>
        </w:tc>
        <w:tc>
          <w:tcPr>
            <w:tcW w:w="934" w:type="dxa"/>
            <w:noWrap w:val="0"/>
            <w:vAlign w:val="center"/>
          </w:tcPr>
          <w:p w14:paraId="06EF2143">
            <w:pPr>
              <w:shd w:val="clear" w:color="auto" w:fill="auto"/>
              <w:spacing w:line="240" w:lineRule="auto"/>
              <w:ind w:left="-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人员出入管理</w:t>
            </w:r>
          </w:p>
        </w:tc>
        <w:tc>
          <w:tcPr>
            <w:tcW w:w="792" w:type="dxa"/>
            <w:noWrap w:val="0"/>
            <w:vAlign w:val="center"/>
          </w:tcPr>
          <w:p w14:paraId="3DAAC881">
            <w:pPr>
              <w:shd w:val="clear" w:color="auto" w:fill="auto"/>
              <w:spacing w:line="240" w:lineRule="auto"/>
              <w:ind w:left="-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794" w:type="dxa"/>
            <w:noWrap w:val="0"/>
            <w:vAlign w:val="center"/>
          </w:tcPr>
          <w:p w14:paraId="2A1822FD">
            <w:pPr>
              <w:shd w:val="clear" w:color="auto" w:fill="auto"/>
              <w:spacing w:line="240" w:lineRule="auto"/>
              <w:rPr>
                <w:rFonts w:hint="eastAsia" w:ascii="宋体" w:hAnsi="宋体" w:eastAsia="宋体" w:cs="宋体"/>
                <w:color w:val="auto"/>
                <w:sz w:val="18"/>
                <w:szCs w:val="18"/>
                <w:highlight w:val="none"/>
              </w:rPr>
            </w:pPr>
          </w:p>
        </w:tc>
        <w:tc>
          <w:tcPr>
            <w:tcW w:w="793" w:type="dxa"/>
            <w:noWrap w:val="0"/>
            <w:vAlign w:val="center"/>
          </w:tcPr>
          <w:p w14:paraId="06ADDAD9">
            <w:pPr>
              <w:shd w:val="clear" w:color="auto" w:fill="auto"/>
              <w:spacing w:line="240" w:lineRule="auto"/>
              <w:rPr>
                <w:rFonts w:hint="eastAsia" w:ascii="宋体" w:hAnsi="宋体" w:eastAsia="宋体" w:cs="宋体"/>
                <w:color w:val="auto"/>
                <w:sz w:val="18"/>
                <w:szCs w:val="18"/>
                <w:highlight w:val="none"/>
              </w:rPr>
            </w:pPr>
          </w:p>
        </w:tc>
        <w:tc>
          <w:tcPr>
            <w:tcW w:w="794" w:type="dxa"/>
            <w:noWrap w:val="0"/>
            <w:vAlign w:val="center"/>
          </w:tcPr>
          <w:p w14:paraId="14CE7159">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6F073630">
            <w:pPr>
              <w:shd w:val="clear" w:color="auto" w:fill="auto"/>
              <w:spacing w:line="240" w:lineRule="auto"/>
              <w:ind w:firstLine="171" w:firstLineChars="95"/>
              <w:rPr>
                <w:rFonts w:hint="eastAsia" w:ascii="宋体" w:hAnsi="宋体" w:eastAsia="宋体" w:cs="宋体"/>
                <w:color w:val="auto"/>
                <w:sz w:val="18"/>
                <w:szCs w:val="18"/>
                <w:highlight w:val="none"/>
              </w:rPr>
            </w:pPr>
          </w:p>
        </w:tc>
        <w:tc>
          <w:tcPr>
            <w:tcW w:w="4374" w:type="dxa"/>
            <w:noWrap w:val="0"/>
            <w:vAlign w:val="center"/>
          </w:tcPr>
          <w:p w14:paraId="12368BBD">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1.登记有效证件不超过60秒/人·次；</w:t>
            </w:r>
          </w:p>
          <w:p w14:paraId="25ECA1FE">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2.掌握本岗位职责和工作规程；外来人员进入停车区需确认后并登记放行，可疑或重要人员特别监控，完毕后出入凭证由有接待部门的签字后方可离开；</w:t>
            </w:r>
          </w:p>
        </w:tc>
      </w:tr>
      <w:tr w14:paraId="5F4D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475" w:type="dxa"/>
            <w:vMerge w:val="continue"/>
            <w:noWrap w:val="0"/>
            <w:vAlign w:val="center"/>
          </w:tcPr>
          <w:p w14:paraId="6E126467">
            <w:pPr>
              <w:shd w:val="clear" w:color="auto" w:fill="auto"/>
              <w:spacing w:line="240" w:lineRule="auto"/>
              <w:ind w:firstLine="420"/>
              <w:rPr>
                <w:rFonts w:hint="eastAsia" w:ascii="宋体" w:hAnsi="宋体" w:eastAsia="宋体" w:cs="宋体"/>
                <w:color w:val="auto"/>
                <w:sz w:val="18"/>
                <w:szCs w:val="18"/>
                <w:highlight w:val="none"/>
              </w:rPr>
            </w:pPr>
          </w:p>
        </w:tc>
        <w:tc>
          <w:tcPr>
            <w:tcW w:w="934" w:type="dxa"/>
            <w:noWrap w:val="0"/>
            <w:vAlign w:val="center"/>
          </w:tcPr>
          <w:p w14:paraId="5B3BE67D">
            <w:pPr>
              <w:shd w:val="clear" w:color="auto" w:fill="auto"/>
              <w:spacing w:line="240" w:lineRule="auto"/>
              <w:ind w:left="-2"/>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安全巡逻</w:t>
            </w:r>
          </w:p>
        </w:tc>
        <w:tc>
          <w:tcPr>
            <w:tcW w:w="792" w:type="dxa"/>
            <w:noWrap w:val="0"/>
            <w:vAlign w:val="center"/>
          </w:tcPr>
          <w:p w14:paraId="0BCA3FA1">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794" w:type="dxa"/>
            <w:noWrap w:val="0"/>
            <w:vAlign w:val="center"/>
          </w:tcPr>
          <w:p w14:paraId="7E3ADAC8">
            <w:pPr>
              <w:shd w:val="clear" w:color="auto" w:fill="auto"/>
              <w:spacing w:line="240" w:lineRule="auto"/>
              <w:rPr>
                <w:rFonts w:hint="eastAsia" w:ascii="宋体" w:hAnsi="宋体" w:eastAsia="宋体" w:cs="宋体"/>
                <w:color w:val="auto"/>
                <w:sz w:val="18"/>
                <w:szCs w:val="18"/>
                <w:highlight w:val="none"/>
              </w:rPr>
            </w:pPr>
          </w:p>
        </w:tc>
        <w:tc>
          <w:tcPr>
            <w:tcW w:w="793" w:type="dxa"/>
            <w:noWrap w:val="0"/>
            <w:vAlign w:val="center"/>
          </w:tcPr>
          <w:p w14:paraId="1485D03D">
            <w:pPr>
              <w:shd w:val="clear" w:color="auto" w:fill="auto"/>
              <w:spacing w:line="240" w:lineRule="auto"/>
              <w:rPr>
                <w:rFonts w:hint="eastAsia" w:ascii="宋体" w:hAnsi="宋体" w:eastAsia="宋体" w:cs="宋体"/>
                <w:color w:val="auto"/>
                <w:sz w:val="18"/>
                <w:szCs w:val="18"/>
                <w:highlight w:val="none"/>
              </w:rPr>
            </w:pPr>
          </w:p>
        </w:tc>
        <w:tc>
          <w:tcPr>
            <w:tcW w:w="794" w:type="dxa"/>
            <w:noWrap w:val="0"/>
            <w:vAlign w:val="center"/>
          </w:tcPr>
          <w:p w14:paraId="5D2296D9">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6AE248F7">
            <w:pPr>
              <w:shd w:val="clear" w:color="auto" w:fill="auto"/>
              <w:spacing w:line="240" w:lineRule="auto"/>
              <w:ind w:firstLine="171" w:firstLineChars="95"/>
              <w:rPr>
                <w:rFonts w:hint="eastAsia" w:ascii="宋体" w:hAnsi="宋体" w:eastAsia="宋体" w:cs="宋体"/>
                <w:color w:val="auto"/>
                <w:sz w:val="18"/>
                <w:szCs w:val="18"/>
                <w:highlight w:val="none"/>
              </w:rPr>
            </w:pPr>
          </w:p>
        </w:tc>
        <w:tc>
          <w:tcPr>
            <w:tcW w:w="4374" w:type="dxa"/>
            <w:noWrap w:val="0"/>
            <w:vAlign w:val="center"/>
          </w:tcPr>
          <w:p w14:paraId="778D5EFD">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1.每月重新制定一次巡逻路线。</w:t>
            </w:r>
          </w:p>
          <w:p w14:paraId="2F5D9E80">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2.巡逻人员（不包括车场巡逻人员）按规定路线每1小时巡逻1次并签到。</w:t>
            </w:r>
          </w:p>
          <w:p w14:paraId="3A183B39">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3.对可疑人员进行监控。</w:t>
            </w:r>
          </w:p>
          <w:p w14:paraId="3F67A1E9">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4.对重大事件的及时处理。</w:t>
            </w:r>
          </w:p>
          <w:p w14:paraId="1F4FABB5">
            <w:pPr>
              <w:pStyle w:val="12"/>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5.每周至少一次对周边管涵及其他设施进行现场巡查，并做好巡查记录。</w:t>
            </w:r>
          </w:p>
        </w:tc>
      </w:tr>
      <w:tr w14:paraId="13BA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475" w:type="dxa"/>
            <w:vMerge w:val="continue"/>
            <w:noWrap w:val="0"/>
            <w:vAlign w:val="center"/>
          </w:tcPr>
          <w:p w14:paraId="1C5D90C4">
            <w:pPr>
              <w:shd w:val="clear" w:color="auto" w:fill="auto"/>
              <w:spacing w:line="240" w:lineRule="auto"/>
              <w:ind w:firstLine="420"/>
              <w:rPr>
                <w:rFonts w:hint="eastAsia" w:ascii="宋体" w:hAnsi="宋体" w:eastAsia="宋体" w:cs="宋体"/>
                <w:color w:val="auto"/>
                <w:sz w:val="18"/>
                <w:szCs w:val="18"/>
                <w:highlight w:val="none"/>
              </w:rPr>
            </w:pPr>
          </w:p>
        </w:tc>
        <w:tc>
          <w:tcPr>
            <w:tcW w:w="934" w:type="dxa"/>
            <w:noWrap w:val="0"/>
            <w:vAlign w:val="center"/>
          </w:tcPr>
          <w:p w14:paraId="5A8CBDDF">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其它突发事件或异常情况处理</w:t>
            </w:r>
          </w:p>
        </w:tc>
        <w:tc>
          <w:tcPr>
            <w:tcW w:w="792" w:type="dxa"/>
            <w:noWrap w:val="0"/>
            <w:vAlign w:val="center"/>
          </w:tcPr>
          <w:p w14:paraId="79FD9914">
            <w:pPr>
              <w:pStyle w:val="14"/>
              <w:shd w:val="clear" w:color="auto" w:fill="auto"/>
              <w:spacing w:line="240" w:lineRule="auto"/>
              <w:ind w:left="52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794" w:type="dxa"/>
            <w:noWrap w:val="0"/>
            <w:vAlign w:val="center"/>
          </w:tcPr>
          <w:p w14:paraId="789B1715">
            <w:pPr>
              <w:shd w:val="clear" w:color="auto" w:fill="auto"/>
              <w:spacing w:line="240" w:lineRule="auto"/>
              <w:rPr>
                <w:rFonts w:hint="eastAsia" w:ascii="宋体" w:hAnsi="宋体" w:eastAsia="宋体" w:cs="宋体"/>
                <w:color w:val="auto"/>
                <w:sz w:val="18"/>
                <w:szCs w:val="18"/>
                <w:highlight w:val="none"/>
              </w:rPr>
            </w:pPr>
          </w:p>
        </w:tc>
        <w:tc>
          <w:tcPr>
            <w:tcW w:w="793" w:type="dxa"/>
            <w:noWrap w:val="0"/>
            <w:vAlign w:val="center"/>
          </w:tcPr>
          <w:p w14:paraId="132ACCA4">
            <w:pPr>
              <w:shd w:val="clear" w:color="auto" w:fill="auto"/>
              <w:spacing w:line="240" w:lineRule="auto"/>
              <w:rPr>
                <w:rFonts w:hint="eastAsia" w:ascii="宋体" w:hAnsi="宋体" w:eastAsia="宋体" w:cs="宋体"/>
                <w:color w:val="auto"/>
                <w:sz w:val="18"/>
                <w:szCs w:val="18"/>
                <w:highlight w:val="none"/>
              </w:rPr>
            </w:pPr>
          </w:p>
        </w:tc>
        <w:tc>
          <w:tcPr>
            <w:tcW w:w="794" w:type="dxa"/>
            <w:noWrap w:val="0"/>
            <w:vAlign w:val="center"/>
          </w:tcPr>
          <w:p w14:paraId="5CC99F47">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0EC7109D">
            <w:pPr>
              <w:shd w:val="clear" w:color="auto" w:fill="auto"/>
              <w:spacing w:line="240" w:lineRule="auto"/>
              <w:ind w:firstLine="171" w:firstLineChars="95"/>
              <w:rPr>
                <w:rFonts w:hint="eastAsia" w:ascii="宋体" w:hAnsi="宋体" w:eastAsia="宋体" w:cs="宋体"/>
                <w:color w:val="auto"/>
                <w:sz w:val="18"/>
                <w:szCs w:val="18"/>
                <w:highlight w:val="none"/>
              </w:rPr>
            </w:pPr>
          </w:p>
        </w:tc>
        <w:tc>
          <w:tcPr>
            <w:tcW w:w="4374" w:type="dxa"/>
            <w:noWrap w:val="0"/>
            <w:vAlign w:val="center"/>
          </w:tcPr>
          <w:p w14:paraId="1676A79F">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1.发现盗窃、斗殴、匪警情况的处理；</w:t>
            </w:r>
          </w:p>
          <w:p w14:paraId="155FAAE9">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2.对精神病人、醉汉的处理；触电事故的应急处理；突发性水浸事故处理；</w:t>
            </w:r>
          </w:p>
          <w:p w14:paraId="4E57A007">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3.台风袭击前、吹强烈大风的预防措施；台风来临后的措施；</w:t>
            </w:r>
          </w:p>
          <w:p w14:paraId="6D56D4AB">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4.爆炸的处理；失物处理；</w:t>
            </w:r>
          </w:p>
        </w:tc>
      </w:tr>
      <w:tr w14:paraId="2937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475" w:type="dxa"/>
            <w:vMerge w:val="restart"/>
            <w:noWrap w:val="0"/>
            <w:vAlign w:val="center"/>
          </w:tcPr>
          <w:p w14:paraId="337FFD94">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安全防范</w:t>
            </w:r>
          </w:p>
        </w:tc>
        <w:tc>
          <w:tcPr>
            <w:tcW w:w="934" w:type="dxa"/>
            <w:noWrap w:val="0"/>
            <w:vAlign w:val="center"/>
          </w:tcPr>
          <w:p w14:paraId="662785FD">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系统报警处理</w:t>
            </w:r>
          </w:p>
        </w:tc>
        <w:tc>
          <w:tcPr>
            <w:tcW w:w="792" w:type="dxa"/>
            <w:noWrap w:val="0"/>
            <w:vAlign w:val="center"/>
          </w:tcPr>
          <w:p w14:paraId="2D3B4B6D">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794" w:type="dxa"/>
            <w:noWrap w:val="0"/>
            <w:vAlign w:val="center"/>
          </w:tcPr>
          <w:p w14:paraId="2DF110EF">
            <w:pPr>
              <w:shd w:val="clear" w:color="auto" w:fill="auto"/>
              <w:spacing w:line="240" w:lineRule="auto"/>
              <w:rPr>
                <w:rFonts w:hint="eastAsia" w:ascii="宋体" w:hAnsi="宋体" w:eastAsia="宋体" w:cs="宋体"/>
                <w:color w:val="auto"/>
                <w:sz w:val="18"/>
                <w:szCs w:val="18"/>
                <w:highlight w:val="none"/>
              </w:rPr>
            </w:pPr>
          </w:p>
        </w:tc>
        <w:tc>
          <w:tcPr>
            <w:tcW w:w="793" w:type="dxa"/>
            <w:noWrap w:val="0"/>
            <w:vAlign w:val="center"/>
          </w:tcPr>
          <w:p w14:paraId="6EC7F17A">
            <w:pPr>
              <w:shd w:val="clear" w:color="auto" w:fill="auto"/>
              <w:spacing w:line="240" w:lineRule="auto"/>
              <w:rPr>
                <w:rFonts w:hint="eastAsia" w:ascii="宋体" w:hAnsi="宋体" w:eastAsia="宋体" w:cs="宋体"/>
                <w:color w:val="auto"/>
                <w:sz w:val="18"/>
                <w:szCs w:val="18"/>
                <w:highlight w:val="none"/>
              </w:rPr>
            </w:pPr>
          </w:p>
        </w:tc>
        <w:tc>
          <w:tcPr>
            <w:tcW w:w="794" w:type="dxa"/>
            <w:noWrap w:val="0"/>
            <w:vAlign w:val="center"/>
          </w:tcPr>
          <w:p w14:paraId="7D6BE9B0">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32DD8BC5">
            <w:pPr>
              <w:shd w:val="clear" w:color="auto" w:fill="auto"/>
              <w:spacing w:line="240" w:lineRule="auto"/>
              <w:ind w:firstLine="171" w:firstLineChars="95"/>
              <w:rPr>
                <w:rFonts w:hint="eastAsia" w:ascii="宋体" w:hAnsi="宋体" w:eastAsia="宋体" w:cs="宋体"/>
                <w:color w:val="auto"/>
                <w:sz w:val="18"/>
                <w:szCs w:val="18"/>
                <w:highlight w:val="none"/>
              </w:rPr>
            </w:pPr>
          </w:p>
        </w:tc>
        <w:tc>
          <w:tcPr>
            <w:tcW w:w="4374" w:type="dxa"/>
            <w:noWrap w:val="0"/>
            <w:vAlign w:val="center"/>
          </w:tcPr>
          <w:p w14:paraId="19896AA6">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接到报警信号后巡逻岗保安在1至3分钟内赶到现场。</w:t>
            </w:r>
          </w:p>
        </w:tc>
      </w:tr>
      <w:tr w14:paraId="05C8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475" w:type="dxa"/>
            <w:vMerge w:val="continue"/>
            <w:noWrap w:val="0"/>
            <w:vAlign w:val="center"/>
          </w:tcPr>
          <w:p w14:paraId="7BEED68D">
            <w:pPr>
              <w:shd w:val="clear" w:color="auto" w:fill="auto"/>
              <w:spacing w:line="240" w:lineRule="auto"/>
              <w:ind w:firstLine="420"/>
              <w:rPr>
                <w:rFonts w:hint="eastAsia" w:ascii="宋体" w:hAnsi="宋体" w:eastAsia="宋体" w:cs="宋体"/>
                <w:color w:val="auto"/>
                <w:sz w:val="18"/>
                <w:szCs w:val="18"/>
                <w:highlight w:val="none"/>
              </w:rPr>
            </w:pPr>
          </w:p>
        </w:tc>
        <w:tc>
          <w:tcPr>
            <w:tcW w:w="934" w:type="dxa"/>
            <w:noWrap w:val="0"/>
            <w:vAlign w:val="center"/>
          </w:tcPr>
          <w:p w14:paraId="45E1036C">
            <w:pPr>
              <w:pStyle w:val="21"/>
              <w:shd w:val="clear" w:color="auto" w:fill="auto"/>
              <w:spacing w:beforeAutospacing="0" w:afterAutospacing="0"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室内报警处理</w:t>
            </w:r>
          </w:p>
        </w:tc>
        <w:tc>
          <w:tcPr>
            <w:tcW w:w="792" w:type="dxa"/>
            <w:noWrap w:val="0"/>
            <w:vAlign w:val="center"/>
          </w:tcPr>
          <w:p w14:paraId="2682DE81">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794" w:type="dxa"/>
            <w:noWrap w:val="0"/>
            <w:vAlign w:val="center"/>
          </w:tcPr>
          <w:p w14:paraId="2A710BEC">
            <w:pPr>
              <w:shd w:val="clear" w:color="auto" w:fill="auto"/>
              <w:spacing w:line="240" w:lineRule="auto"/>
              <w:rPr>
                <w:rFonts w:hint="eastAsia" w:ascii="宋体" w:hAnsi="宋体" w:eastAsia="宋体" w:cs="宋体"/>
                <w:color w:val="auto"/>
                <w:sz w:val="18"/>
                <w:szCs w:val="18"/>
                <w:highlight w:val="none"/>
              </w:rPr>
            </w:pPr>
          </w:p>
        </w:tc>
        <w:tc>
          <w:tcPr>
            <w:tcW w:w="793" w:type="dxa"/>
            <w:noWrap w:val="0"/>
            <w:vAlign w:val="center"/>
          </w:tcPr>
          <w:p w14:paraId="3616BFD9">
            <w:pPr>
              <w:shd w:val="clear" w:color="auto" w:fill="auto"/>
              <w:spacing w:line="240" w:lineRule="auto"/>
              <w:rPr>
                <w:rFonts w:hint="eastAsia" w:ascii="宋体" w:hAnsi="宋体" w:eastAsia="宋体" w:cs="宋体"/>
                <w:color w:val="auto"/>
                <w:sz w:val="18"/>
                <w:szCs w:val="18"/>
                <w:highlight w:val="none"/>
              </w:rPr>
            </w:pPr>
          </w:p>
        </w:tc>
        <w:tc>
          <w:tcPr>
            <w:tcW w:w="794" w:type="dxa"/>
            <w:noWrap w:val="0"/>
            <w:vAlign w:val="center"/>
          </w:tcPr>
          <w:p w14:paraId="35CB1B68">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02AE71BA">
            <w:pPr>
              <w:shd w:val="clear" w:color="auto" w:fill="auto"/>
              <w:spacing w:line="240" w:lineRule="auto"/>
              <w:ind w:firstLine="420"/>
              <w:rPr>
                <w:rFonts w:hint="eastAsia" w:ascii="宋体" w:hAnsi="宋体" w:eastAsia="宋体" w:cs="宋体"/>
                <w:color w:val="auto"/>
                <w:sz w:val="18"/>
                <w:szCs w:val="18"/>
                <w:highlight w:val="none"/>
              </w:rPr>
            </w:pPr>
          </w:p>
        </w:tc>
        <w:tc>
          <w:tcPr>
            <w:tcW w:w="4374" w:type="dxa"/>
            <w:noWrap w:val="0"/>
            <w:vAlign w:val="center"/>
          </w:tcPr>
          <w:p w14:paraId="054DE619">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商户或办公室内报警，巡逻岗保安在3-5分钟内到达现场</w:t>
            </w:r>
          </w:p>
        </w:tc>
      </w:tr>
      <w:tr w14:paraId="3DD1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475" w:type="dxa"/>
            <w:vMerge w:val="continue"/>
            <w:noWrap w:val="0"/>
            <w:vAlign w:val="center"/>
          </w:tcPr>
          <w:p w14:paraId="64DC9C7A">
            <w:pPr>
              <w:shd w:val="clear" w:color="auto" w:fill="auto"/>
              <w:spacing w:line="240" w:lineRule="auto"/>
              <w:ind w:firstLine="420"/>
              <w:rPr>
                <w:rFonts w:hint="eastAsia" w:ascii="宋体" w:hAnsi="宋体" w:eastAsia="宋体" w:cs="宋体"/>
                <w:color w:val="auto"/>
                <w:sz w:val="18"/>
                <w:szCs w:val="18"/>
                <w:highlight w:val="none"/>
              </w:rPr>
            </w:pPr>
          </w:p>
        </w:tc>
        <w:tc>
          <w:tcPr>
            <w:tcW w:w="934" w:type="dxa"/>
            <w:noWrap w:val="0"/>
            <w:vAlign w:val="center"/>
          </w:tcPr>
          <w:p w14:paraId="21F8AFC7">
            <w:pPr>
              <w:pStyle w:val="21"/>
              <w:shd w:val="clear" w:color="auto" w:fill="auto"/>
              <w:spacing w:beforeAutospacing="0" w:afterAutospacing="0"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标识系统</w:t>
            </w:r>
          </w:p>
        </w:tc>
        <w:tc>
          <w:tcPr>
            <w:tcW w:w="792" w:type="dxa"/>
            <w:noWrap w:val="0"/>
            <w:vAlign w:val="center"/>
          </w:tcPr>
          <w:p w14:paraId="272A1685">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794" w:type="dxa"/>
            <w:noWrap w:val="0"/>
            <w:vAlign w:val="center"/>
          </w:tcPr>
          <w:p w14:paraId="5C980B78">
            <w:pPr>
              <w:shd w:val="clear" w:color="auto" w:fill="auto"/>
              <w:spacing w:line="240" w:lineRule="auto"/>
              <w:rPr>
                <w:rFonts w:hint="eastAsia" w:ascii="宋体" w:hAnsi="宋体" w:eastAsia="宋体" w:cs="宋体"/>
                <w:color w:val="auto"/>
                <w:sz w:val="18"/>
                <w:szCs w:val="18"/>
                <w:highlight w:val="none"/>
              </w:rPr>
            </w:pPr>
          </w:p>
        </w:tc>
        <w:tc>
          <w:tcPr>
            <w:tcW w:w="793" w:type="dxa"/>
            <w:noWrap w:val="0"/>
            <w:vAlign w:val="center"/>
          </w:tcPr>
          <w:p w14:paraId="4A5D3406">
            <w:pPr>
              <w:shd w:val="clear" w:color="auto" w:fill="auto"/>
              <w:spacing w:line="240" w:lineRule="auto"/>
              <w:rPr>
                <w:rFonts w:hint="eastAsia" w:ascii="宋体" w:hAnsi="宋体" w:eastAsia="宋体" w:cs="宋体"/>
                <w:color w:val="auto"/>
                <w:sz w:val="18"/>
                <w:szCs w:val="18"/>
                <w:highlight w:val="none"/>
              </w:rPr>
            </w:pPr>
          </w:p>
        </w:tc>
        <w:tc>
          <w:tcPr>
            <w:tcW w:w="794" w:type="dxa"/>
            <w:noWrap w:val="0"/>
            <w:vAlign w:val="center"/>
          </w:tcPr>
          <w:p w14:paraId="2E97EBEA">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31158175">
            <w:pPr>
              <w:shd w:val="clear" w:color="auto" w:fill="auto"/>
              <w:spacing w:line="240" w:lineRule="auto"/>
              <w:ind w:firstLine="420"/>
              <w:rPr>
                <w:rFonts w:hint="eastAsia" w:ascii="宋体" w:hAnsi="宋体" w:eastAsia="宋体" w:cs="宋体"/>
                <w:color w:val="auto"/>
                <w:sz w:val="18"/>
                <w:szCs w:val="18"/>
                <w:highlight w:val="none"/>
              </w:rPr>
            </w:pPr>
          </w:p>
        </w:tc>
        <w:tc>
          <w:tcPr>
            <w:tcW w:w="4374" w:type="dxa"/>
            <w:noWrap w:val="0"/>
            <w:vAlign w:val="center"/>
          </w:tcPr>
          <w:p w14:paraId="3ED4117B">
            <w:pPr>
              <w:shd w:val="clear" w:color="auto" w:fill="auto"/>
              <w:spacing w:line="240" w:lineRule="auto"/>
              <w:ind w:left="210" w:hanging="180" w:hanging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设置必备的安全标识。</w:t>
            </w:r>
          </w:p>
        </w:tc>
      </w:tr>
      <w:tr w14:paraId="7475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475" w:type="dxa"/>
            <w:vMerge w:val="restart"/>
            <w:noWrap w:val="0"/>
            <w:vAlign w:val="center"/>
          </w:tcPr>
          <w:p w14:paraId="1C5AC607">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消防安全</w:t>
            </w:r>
          </w:p>
        </w:tc>
        <w:tc>
          <w:tcPr>
            <w:tcW w:w="934" w:type="dxa"/>
            <w:noWrap w:val="0"/>
            <w:vAlign w:val="center"/>
          </w:tcPr>
          <w:p w14:paraId="42AF1BAD">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公共部位</w:t>
            </w:r>
          </w:p>
        </w:tc>
        <w:tc>
          <w:tcPr>
            <w:tcW w:w="792" w:type="dxa"/>
            <w:noWrap w:val="0"/>
            <w:vAlign w:val="center"/>
          </w:tcPr>
          <w:p w14:paraId="7946E29C">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794" w:type="dxa"/>
            <w:noWrap w:val="0"/>
            <w:vAlign w:val="center"/>
          </w:tcPr>
          <w:p w14:paraId="0ECD0B6C">
            <w:pPr>
              <w:shd w:val="clear" w:color="auto" w:fill="auto"/>
              <w:spacing w:line="240" w:lineRule="auto"/>
              <w:rPr>
                <w:rFonts w:hint="eastAsia" w:ascii="宋体" w:hAnsi="宋体" w:eastAsia="宋体" w:cs="宋体"/>
                <w:color w:val="auto"/>
                <w:sz w:val="18"/>
                <w:szCs w:val="18"/>
                <w:highlight w:val="none"/>
              </w:rPr>
            </w:pPr>
          </w:p>
        </w:tc>
        <w:tc>
          <w:tcPr>
            <w:tcW w:w="793" w:type="dxa"/>
            <w:noWrap w:val="0"/>
            <w:vAlign w:val="center"/>
          </w:tcPr>
          <w:p w14:paraId="101D0B8F">
            <w:pPr>
              <w:shd w:val="clear" w:color="auto" w:fill="auto"/>
              <w:spacing w:line="240" w:lineRule="auto"/>
              <w:rPr>
                <w:rFonts w:hint="eastAsia" w:ascii="宋体" w:hAnsi="宋体" w:eastAsia="宋体" w:cs="宋体"/>
                <w:color w:val="auto"/>
                <w:sz w:val="18"/>
                <w:szCs w:val="18"/>
                <w:highlight w:val="none"/>
              </w:rPr>
            </w:pPr>
          </w:p>
        </w:tc>
        <w:tc>
          <w:tcPr>
            <w:tcW w:w="794" w:type="dxa"/>
            <w:noWrap w:val="0"/>
            <w:vAlign w:val="center"/>
          </w:tcPr>
          <w:p w14:paraId="3C21C774">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21DC432D">
            <w:pPr>
              <w:shd w:val="clear" w:color="auto" w:fill="auto"/>
              <w:spacing w:line="240" w:lineRule="auto"/>
              <w:ind w:firstLine="420"/>
              <w:rPr>
                <w:rFonts w:hint="eastAsia" w:ascii="宋体" w:hAnsi="宋体" w:eastAsia="宋体" w:cs="宋体"/>
                <w:color w:val="auto"/>
                <w:sz w:val="18"/>
                <w:szCs w:val="18"/>
                <w:highlight w:val="none"/>
              </w:rPr>
            </w:pPr>
          </w:p>
        </w:tc>
        <w:tc>
          <w:tcPr>
            <w:tcW w:w="4374" w:type="dxa"/>
            <w:noWrap w:val="0"/>
            <w:vAlign w:val="center"/>
          </w:tcPr>
          <w:p w14:paraId="6B15FB10">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无占用消防通道，无堆放杂物</w:t>
            </w:r>
          </w:p>
        </w:tc>
      </w:tr>
      <w:tr w14:paraId="1317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75" w:type="dxa"/>
            <w:vMerge w:val="continue"/>
            <w:noWrap w:val="0"/>
            <w:vAlign w:val="center"/>
          </w:tcPr>
          <w:p w14:paraId="1E262E7C">
            <w:pPr>
              <w:shd w:val="clear" w:color="auto" w:fill="auto"/>
              <w:spacing w:line="240" w:lineRule="auto"/>
              <w:ind w:firstLine="420"/>
              <w:rPr>
                <w:rFonts w:hint="eastAsia" w:ascii="宋体" w:hAnsi="宋体" w:eastAsia="宋体" w:cs="宋体"/>
                <w:color w:val="auto"/>
                <w:sz w:val="18"/>
                <w:szCs w:val="18"/>
                <w:highlight w:val="none"/>
              </w:rPr>
            </w:pPr>
          </w:p>
        </w:tc>
        <w:tc>
          <w:tcPr>
            <w:tcW w:w="934" w:type="dxa"/>
            <w:noWrap w:val="0"/>
            <w:vAlign w:val="center"/>
          </w:tcPr>
          <w:p w14:paraId="17A0413F">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消防栓</w:t>
            </w:r>
          </w:p>
        </w:tc>
        <w:tc>
          <w:tcPr>
            <w:tcW w:w="792" w:type="dxa"/>
            <w:noWrap w:val="0"/>
            <w:vAlign w:val="center"/>
          </w:tcPr>
          <w:p w14:paraId="110DB563">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78B07A31">
            <w:pPr>
              <w:shd w:val="clear" w:color="auto" w:fill="auto"/>
              <w:spacing w:line="240" w:lineRule="auto"/>
              <w:ind w:firstLine="420"/>
              <w:rPr>
                <w:rFonts w:hint="eastAsia" w:ascii="宋体" w:hAnsi="宋体" w:eastAsia="宋体" w:cs="宋体"/>
                <w:color w:val="auto"/>
                <w:sz w:val="18"/>
                <w:szCs w:val="18"/>
                <w:highlight w:val="none"/>
              </w:rPr>
            </w:pPr>
          </w:p>
        </w:tc>
        <w:tc>
          <w:tcPr>
            <w:tcW w:w="793" w:type="dxa"/>
            <w:noWrap w:val="0"/>
            <w:vAlign w:val="center"/>
          </w:tcPr>
          <w:p w14:paraId="159E7D96">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94" w:type="dxa"/>
            <w:noWrap w:val="0"/>
            <w:vAlign w:val="center"/>
          </w:tcPr>
          <w:p w14:paraId="528663A3">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2EEE5653">
            <w:pPr>
              <w:shd w:val="clear" w:color="auto" w:fill="auto"/>
              <w:spacing w:line="240" w:lineRule="auto"/>
              <w:ind w:firstLine="420"/>
              <w:rPr>
                <w:rFonts w:hint="eastAsia" w:ascii="宋体" w:hAnsi="宋体" w:eastAsia="宋体" w:cs="宋体"/>
                <w:color w:val="auto"/>
                <w:sz w:val="18"/>
                <w:szCs w:val="18"/>
                <w:highlight w:val="none"/>
              </w:rPr>
            </w:pPr>
          </w:p>
        </w:tc>
        <w:tc>
          <w:tcPr>
            <w:tcW w:w="4374" w:type="dxa"/>
            <w:noWrap w:val="0"/>
            <w:vAlign w:val="center"/>
          </w:tcPr>
          <w:p w14:paraId="14CB25AA">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1.熟练掌握使用方法。</w:t>
            </w:r>
          </w:p>
          <w:p w14:paraId="2AEC54B6">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2.无破损、无霉潮，带柜完好</w:t>
            </w:r>
          </w:p>
        </w:tc>
      </w:tr>
      <w:tr w14:paraId="29AF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475" w:type="dxa"/>
            <w:vMerge w:val="continue"/>
            <w:noWrap w:val="0"/>
            <w:vAlign w:val="center"/>
          </w:tcPr>
          <w:p w14:paraId="2BA1EDC4">
            <w:pPr>
              <w:shd w:val="clear" w:color="auto" w:fill="auto"/>
              <w:spacing w:line="240" w:lineRule="auto"/>
              <w:ind w:firstLine="420"/>
              <w:rPr>
                <w:rFonts w:hint="eastAsia" w:ascii="宋体" w:hAnsi="宋体" w:eastAsia="宋体" w:cs="宋体"/>
                <w:color w:val="auto"/>
                <w:sz w:val="18"/>
                <w:szCs w:val="18"/>
                <w:highlight w:val="none"/>
              </w:rPr>
            </w:pPr>
          </w:p>
        </w:tc>
        <w:tc>
          <w:tcPr>
            <w:tcW w:w="934" w:type="dxa"/>
            <w:noWrap w:val="0"/>
            <w:vAlign w:val="center"/>
          </w:tcPr>
          <w:p w14:paraId="249CE14B">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w:t>
            </w:r>
          </w:p>
        </w:tc>
        <w:tc>
          <w:tcPr>
            <w:tcW w:w="792" w:type="dxa"/>
            <w:noWrap w:val="0"/>
            <w:vAlign w:val="center"/>
          </w:tcPr>
          <w:p w14:paraId="1DBC953A">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5D6BA72B">
            <w:pPr>
              <w:shd w:val="clear" w:color="auto" w:fill="auto"/>
              <w:spacing w:line="240" w:lineRule="auto"/>
              <w:ind w:firstLine="420"/>
              <w:rPr>
                <w:rFonts w:hint="eastAsia" w:ascii="宋体" w:hAnsi="宋体" w:eastAsia="宋体" w:cs="宋体"/>
                <w:color w:val="auto"/>
                <w:sz w:val="18"/>
                <w:szCs w:val="18"/>
                <w:highlight w:val="none"/>
              </w:rPr>
            </w:pPr>
          </w:p>
        </w:tc>
        <w:tc>
          <w:tcPr>
            <w:tcW w:w="793" w:type="dxa"/>
            <w:noWrap w:val="0"/>
            <w:vAlign w:val="center"/>
          </w:tcPr>
          <w:p w14:paraId="6FD472F7">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94" w:type="dxa"/>
            <w:noWrap w:val="0"/>
            <w:vAlign w:val="center"/>
          </w:tcPr>
          <w:p w14:paraId="0CB89F2A">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444C2C30">
            <w:pPr>
              <w:shd w:val="clear" w:color="auto" w:fill="auto"/>
              <w:spacing w:line="240" w:lineRule="auto"/>
              <w:ind w:firstLine="420"/>
              <w:rPr>
                <w:rFonts w:hint="eastAsia" w:ascii="宋体" w:hAnsi="宋体" w:eastAsia="宋体" w:cs="宋体"/>
                <w:color w:val="auto"/>
                <w:sz w:val="18"/>
                <w:szCs w:val="18"/>
                <w:highlight w:val="none"/>
              </w:rPr>
            </w:pPr>
          </w:p>
        </w:tc>
        <w:tc>
          <w:tcPr>
            <w:tcW w:w="4374" w:type="dxa"/>
            <w:noWrap w:val="0"/>
            <w:vAlign w:val="center"/>
          </w:tcPr>
          <w:p w14:paraId="6652668E">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消防门保持关闭。</w:t>
            </w:r>
          </w:p>
        </w:tc>
      </w:tr>
      <w:tr w14:paraId="2BDE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475" w:type="dxa"/>
            <w:vMerge w:val="continue"/>
            <w:noWrap w:val="0"/>
            <w:vAlign w:val="center"/>
          </w:tcPr>
          <w:p w14:paraId="4B7919F7">
            <w:pPr>
              <w:shd w:val="clear" w:color="auto" w:fill="auto"/>
              <w:spacing w:line="240" w:lineRule="auto"/>
              <w:ind w:firstLine="420"/>
              <w:rPr>
                <w:rFonts w:hint="eastAsia" w:ascii="宋体" w:hAnsi="宋体" w:eastAsia="宋体" w:cs="宋体"/>
                <w:color w:val="auto"/>
                <w:sz w:val="18"/>
                <w:szCs w:val="18"/>
                <w:highlight w:val="none"/>
              </w:rPr>
            </w:pPr>
          </w:p>
        </w:tc>
        <w:tc>
          <w:tcPr>
            <w:tcW w:w="934" w:type="dxa"/>
            <w:noWrap w:val="0"/>
            <w:vAlign w:val="center"/>
          </w:tcPr>
          <w:p w14:paraId="4697A439">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灭火器具</w:t>
            </w:r>
          </w:p>
        </w:tc>
        <w:tc>
          <w:tcPr>
            <w:tcW w:w="792" w:type="dxa"/>
            <w:noWrap w:val="0"/>
            <w:vAlign w:val="center"/>
          </w:tcPr>
          <w:p w14:paraId="2FE19FB6">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686087A4">
            <w:pPr>
              <w:shd w:val="clear" w:color="auto" w:fill="auto"/>
              <w:spacing w:line="240" w:lineRule="auto"/>
              <w:ind w:firstLine="420"/>
              <w:rPr>
                <w:rFonts w:hint="eastAsia" w:ascii="宋体" w:hAnsi="宋体" w:eastAsia="宋体" w:cs="宋体"/>
                <w:color w:val="auto"/>
                <w:sz w:val="18"/>
                <w:szCs w:val="18"/>
                <w:highlight w:val="none"/>
              </w:rPr>
            </w:pPr>
          </w:p>
        </w:tc>
        <w:tc>
          <w:tcPr>
            <w:tcW w:w="793" w:type="dxa"/>
            <w:noWrap w:val="0"/>
            <w:vAlign w:val="center"/>
          </w:tcPr>
          <w:p w14:paraId="75AC98D6">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94" w:type="dxa"/>
            <w:noWrap w:val="0"/>
            <w:vAlign w:val="center"/>
          </w:tcPr>
          <w:p w14:paraId="4BDAD7DA">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6F5FCABC">
            <w:pPr>
              <w:shd w:val="clear" w:color="auto" w:fill="auto"/>
              <w:spacing w:line="240" w:lineRule="auto"/>
              <w:ind w:firstLine="420"/>
              <w:rPr>
                <w:rFonts w:hint="eastAsia" w:ascii="宋体" w:hAnsi="宋体" w:eastAsia="宋体" w:cs="宋体"/>
                <w:color w:val="auto"/>
                <w:sz w:val="18"/>
                <w:szCs w:val="18"/>
                <w:highlight w:val="none"/>
              </w:rPr>
            </w:pPr>
          </w:p>
        </w:tc>
        <w:tc>
          <w:tcPr>
            <w:tcW w:w="4374" w:type="dxa"/>
            <w:noWrap w:val="0"/>
            <w:vAlign w:val="center"/>
          </w:tcPr>
          <w:p w14:paraId="42675D17">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做好检查记录，无缺失、无过期，表面保洁，100%完好</w:t>
            </w:r>
          </w:p>
        </w:tc>
      </w:tr>
      <w:tr w14:paraId="7CCB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475" w:type="dxa"/>
            <w:vMerge w:val="continue"/>
            <w:noWrap w:val="0"/>
            <w:vAlign w:val="center"/>
          </w:tcPr>
          <w:p w14:paraId="6A8882EA">
            <w:pPr>
              <w:shd w:val="clear" w:color="auto" w:fill="auto"/>
              <w:spacing w:line="240" w:lineRule="auto"/>
              <w:ind w:firstLine="420"/>
              <w:rPr>
                <w:rFonts w:hint="eastAsia" w:ascii="宋体" w:hAnsi="宋体" w:eastAsia="宋体" w:cs="宋体"/>
                <w:color w:val="auto"/>
                <w:sz w:val="18"/>
                <w:szCs w:val="18"/>
                <w:highlight w:val="none"/>
              </w:rPr>
            </w:pPr>
          </w:p>
        </w:tc>
        <w:tc>
          <w:tcPr>
            <w:tcW w:w="934" w:type="dxa"/>
            <w:noWrap w:val="0"/>
            <w:vAlign w:val="center"/>
          </w:tcPr>
          <w:p w14:paraId="6D40480F">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温感、烟感、喷淋</w:t>
            </w:r>
          </w:p>
        </w:tc>
        <w:tc>
          <w:tcPr>
            <w:tcW w:w="792" w:type="dxa"/>
            <w:noWrap w:val="0"/>
            <w:vAlign w:val="center"/>
          </w:tcPr>
          <w:p w14:paraId="39C5CA76">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08E9CCEA">
            <w:pPr>
              <w:shd w:val="clear" w:color="auto" w:fill="auto"/>
              <w:spacing w:line="240" w:lineRule="auto"/>
              <w:ind w:firstLine="420"/>
              <w:rPr>
                <w:rFonts w:hint="eastAsia" w:ascii="宋体" w:hAnsi="宋体" w:eastAsia="宋体" w:cs="宋体"/>
                <w:color w:val="auto"/>
                <w:sz w:val="18"/>
                <w:szCs w:val="18"/>
                <w:highlight w:val="none"/>
              </w:rPr>
            </w:pPr>
          </w:p>
        </w:tc>
        <w:tc>
          <w:tcPr>
            <w:tcW w:w="793" w:type="dxa"/>
            <w:noWrap w:val="0"/>
            <w:vAlign w:val="center"/>
          </w:tcPr>
          <w:p w14:paraId="668F46D1">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94" w:type="dxa"/>
            <w:noWrap w:val="0"/>
            <w:vAlign w:val="center"/>
          </w:tcPr>
          <w:p w14:paraId="6CAEBA25">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385C72B3">
            <w:pPr>
              <w:shd w:val="clear" w:color="auto" w:fill="auto"/>
              <w:spacing w:line="240" w:lineRule="auto"/>
              <w:ind w:firstLine="420"/>
              <w:rPr>
                <w:rFonts w:hint="eastAsia" w:ascii="宋体" w:hAnsi="宋体" w:eastAsia="宋体" w:cs="宋体"/>
                <w:color w:val="auto"/>
                <w:sz w:val="18"/>
                <w:szCs w:val="18"/>
                <w:highlight w:val="none"/>
              </w:rPr>
            </w:pPr>
          </w:p>
        </w:tc>
        <w:tc>
          <w:tcPr>
            <w:tcW w:w="4374" w:type="dxa"/>
            <w:noWrap w:val="0"/>
            <w:vAlign w:val="center"/>
          </w:tcPr>
          <w:p w14:paraId="57AB6495">
            <w:pPr>
              <w:shd w:val="clear" w:color="auto" w:fill="auto"/>
              <w:spacing w:line="240" w:lineRule="auto"/>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无缺失，外观完好。</w:t>
            </w:r>
          </w:p>
        </w:tc>
      </w:tr>
      <w:tr w14:paraId="5FA3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475" w:type="dxa"/>
            <w:vMerge w:val="continue"/>
            <w:noWrap w:val="0"/>
            <w:vAlign w:val="center"/>
          </w:tcPr>
          <w:p w14:paraId="18216958">
            <w:pPr>
              <w:shd w:val="clear" w:color="auto" w:fill="auto"/>
              <w:spacing w:line="240" w:lineRule="auto"/>
              <w:ind w:firstLine="420"/>
              <w:rPr>
                <w:rFonts w:hint="eastAsia" w:ascii="宋体" w:hAnsi="宋体" w:eastAsia="宋体" w:cs="宋体"/>
                <w:color w:val="auto"/>
                <w:sz w:val="18"/>
                <w:szCs w:val="18"/>
                <w:highlight w:val="none"/>
              </w:rPr>
            </w:pPr>
          </w:p>
        </w:tc>
        <w:tc>
          <w:tcPr>
            <w:tcW w:w="934" w:type="dxa"/>
            <w:noWrap w:val="0"/>
            <w:vAlign w:val="center"/>
          </w:tcPr>
          <w:p w14:paraId="34AC29A3">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w:t>
            </w:r>
          </w:p>
        </w:tc>
        <w:tc>
          <w:tcPr>
            <w:tcW w:w="792" w:type="dxa"/>
            <w:noWrap w:val="0"/>
            <w:vAlign w:val="center"/>
          </w:tcPr>
          <w:p w14:paraId="356A80F3">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6E4DBE13">
            <w:pPr>
              <w:shd w:val="clear" w:color="auto" w:fill="auto"/>
              <w:spacing w:line="240" w:lineRule="auto"/>
              <w:ind w:firstLine="420"/>
              <w:rPr>
                <w:rFonts w:hint="eastAsia" w:ascii="宋体" w:hAnsi="宋体" w:eastAsia="宋体" w:cs="宋体"/>
                <w:color w:val="auto"/>
                <w:sz w:val="18"/>
                <w:szCs w:val="18"/>
                <w:highlight w:val="none"/>
              </w:rPr>
            </w:pPr>
          </w:p>
        </w:tc>
        <w:tc>
          <w:tcPr>
            <w:tcW w:w="793" w:type="dxa"/>
            <w:noWrap w:val="0"/>
            <w:vAlign w:val="center"/>
          </w:tcPr>
          <w:p w14:paraId="3389C82C">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28CAC879">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29F1134C">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不少于1次</w:t>
            </w:r>
          </w:p>
        </w:tc>
        <w:tc>
          <w:tcPr>
            <w:tcW w:w="4374" w:type="dxa"/>
            <w:noWrap w:val="0"/>
            <w:vAlign w:val="center"/>
          </w:tcPr>
          <w:p w14:paraId="653EA087">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1.制定演习方案.</w:t>
            </w:r>
          </w:p>
          <w:p w14:paraId="46DC6C68">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2.按演习方案组织实施.</w:t>
            </w:r>
          </w:p>
          <w:p w14:paraId="08EB9151">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3.对演习进行效果评估.</w:t>
            </w:r>
          </w:p>
        </w:tc>
      </w:tr>
      <w:tr w14:paraId="78E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3" w:hRule="atLeast"/>
          <w:jc w:val="center"/>
        </w:trPr>
        <w:tc>
          <w:tcPr>
            <w:tcW w:w="1409" w:type="dxa"/>
            <w:gridSpan w:val="2"/>
            <w:noWrap w:val="0"/>
            <w:vAlign w:val="center"/>
          </w:tcPr>
          <w:p w14:paraId="717AB851">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车辆管理</w:t>
            </w:r>
          </w:p>
        </w:tc>
        <w:tc>
          <w:tcPr>
            <w:tcW w:w="792" w:type="dxa"/>
            <w:noWrap w:val="0"/>
            <w:vAlign w:val="center"/>
          </w:tcPr>
          <w:p w14:paraId="266C6CE1">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794" w:type="dxa"/>
            <w:noWrap w:val="0"/>
            <w:vAlign w:val="center"/>
          </w:tcPr>
          <w:p w14:paraId="4FA64DEA">
            <w:pPr>
              <w:shd w:val="clear" w:color="auto" w:fill="auto"/>
              <w:spacing w:line="240" w:lineRule="auto"/>
              <w:ind w:firstLine="420"/>
              <w:rPr>
                <w:rFonts w:hint="eastAsia" w:ascii="宋体" w:hAnsi="宋体" w:eastAsia="宋体" w:cs="宋体"/>
                <w:color w:val="auto"/>
                <w:sz w:val="18"/>
                <w:szCs w:val="18"/>
                <w:highlight w:val="none"/>
              </w:rPr>
            </w:pPr>
          </w:p>
        </w:tc>
        <w:tc>
          <w:tcPr>
            <w:tcW w:w="793" w:type="dxa"/>
            <w:noWrap w:val="0"/>
            <w:vAlign w:val="center"/>
          </w:tcPr>
          <w:p w14:paraId="3A6F10F2">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0EE196E8">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7AD46DC9">
            <w:pPr>
              <w:shd w:val="clear" w:color="auto" w:fill="auto"/>
              <w:spacing w:line="240" w:lineRule="auto"/>
              <w:ind w:firstLine="420"/>
              <w:rPr>
                <w:rFonts w:hint="eastAsia" w:ascii="宋体" w:hAnsi="宋体" w:eastAsia="宋体" w:cs="宋体"/>
                <w:color w:val="auto"/>
                <w:sz w:val="18"/>
                <w:szCs w:val="18"/>
                <w:highlight w:val="none"/>
              </w:rPr>
            </w:pPr>
          </w:p>
        </w:tc>
        <w:tc>
          <w:tcPr>
            <w:tcW w:w="4374" w:type="dxa"/>
            <w:noWrap w:val="0"/>
            <w:vAlign w:val="center"/>
          </w:tcPr>
          <w:p w14:paraId="36407642">
            <w:pPr>
              <w:pStyle w:val="13"/>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1.对车辆实施分流，维护停放秩序。</w:t>
            </w:r>
          </w:p>
          <w:p w14:paraId="74AADD6E">
            <w:pPr>
              <w:pStyle w:val="13"/>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2.对危险品车辆落实专人进行全程管理，并做好记录，发现问题及时汇报。</w:t>
            </w:r>
          </w:p>
          <w:p w14:paraId="7E9D5547">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3.巡逻人员按规定路线定时巡逻和签到。</w:t>
            </w:r>
          </w:p>
          <w:p w14:paraId="28F99A35">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4.发现异常情况，保安在30秒至于1分钟内赶到现场。</w:t>
            </w:r>
          </w:p>
          <w:p w14:paraId="0BDACF70">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5.对可疑车辆进行重点监控。</w:t>
            </w:r>
          </w:p>
          <w:p w14:paraId="44828872">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6.对长时间逗留的车辆劝其离开。</w:t>
            </w:r>
          </w:p>
          <w:p w14:paraId="6695E2EE">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7.通道内严禁停车，对违停车辆在5分钟内予以处理，对停车场的修理车进行制止。</w:t>
            </w:r>
          </w:p>
          <w:p w14:paraId="6771DA56">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8.因运营养护工作需要，对通道掉头车辆进行登记备案，登记资料纳入保安日常资料台账，装订成册。</w:t>
            </w:r>
          </w:p>
        </w:tc>
      </w:tr>
      <w:tr w14:paraId="253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409" w:type="dxa"/>
            <w:gridSpan w:val="2"/>
            <w:noWrap w:val="0"/>
            <w:vAlign w:val="center"/>
          </w:tcPr>
          <w:p w14:paraId="29AB7DB4">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工作环境</w:t>
            </w:r>
          </w:p>
        </w:tc>
        <w:tc>
          <w:tcPr>
            <w:tcW w:w="792" w:type="dxa"/>
            <w:noWrap w:val="0"/>
            <w:vAlign w:val="center"/>
          </w:tcPr>
          <w:p w14:paraId="2D0944C1">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794" w:type="dxa"/>
            <w:noWrap w:val="0"/>
            <w:vAlign w:val="center"/>
          </w:tcPr>
          <w:p w14:paraId="765B64A7">
            <w:pPr>
              <w:shd w:val="clear" w:color="auto" w:fill="auto"/>
              <w:spacing w:line="240" w:lineRule="auto"/>
              <w:ind w:firstLine="420"/>
              <w:rPr>
                <w:rFonts w:hint="eastAsia" w:ascii="宋体" w:hAnsi="宋体" w:eastAsia="宋体" w:cs="宋体"/>
                <w:color w:val="auto"/>
                <w:sz w:val="18"/>
                <w:szCs w:val="18"/>
                <w:highlight w:val="none"/>
              </w:rPr>
            </w:pPr>
          </w:p>
        </w:tc>
        <w:tc>
          <w:tcPr>
            <w:tcW w:w="793" w:type="dxa"/>
            <w:noWrap w:val="0"/>
            <w:vAlign w:val="center"/>
          </w:tcPr>
          <w:p w14:paraId="1DB04627">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566FB00F">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056AE5DE">
            <w:pPr>
              <w:shd w:val="clear" w:color="auto" w:fill="auto"/>
              <w:spacing w:line="240" w:lineRule="auto"/>
              <w:ind w:firstLine="420"/>
              <w:rPr>
                <w:rFonts w:hint="eastAsia" w:ascii="宋体" w:hAnsi="宋体" w:eastAsia="宋体" w:cs="宋体"/>
                <w:color w:val="auto"/>
                <w:sz w:val="18"/>
                <w:szCs w:val="18"/>
                <w:highlight w:val="none"/>
              </w:rPr>
            </w:pPr>
          </w:p>
        </w:tc>
        <w:tc>
          <w:tcPr>
            <w:tcW w:w="4374" w:type="dxa"/>
            <w:noWrap w:val="0"/>
            <w:vAlign w:val="center"/>
          </w:tcPr>
          <w:p w14:paraId="6E1EE7DA">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1.岗位责任人姓名、照片、许可证等有关证件，悬挂在出入口明显位置。</w:t>
            </w:r>
          </w:p>
          <w:p w14:paraId="39BE49CD">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2.门卫岗亭，内外地面拖洗干净，玻璃窗台及其他台面，室内外墙面每月清洁。</w:t>
            </w:r>
          </w:p>
        </w:tc>
      </w:tr>
      <w:tr w14:paraId="06EC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0" w:hRule="atLeast"/>
          <w:jc w:val="center"/>
        </w:trPr>
        <w:tc>
          <w:tcPr>
            <w:tcW w:w="1409" w:type="dxa"/>
            <w:gridSpan w:val="2"/>
            <w:noWrap w:val="0"/>
            <w:vAlign w:val="center"/>
          </w:tcPr>
          <w:p w14:paraId="3623B243">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资料管理</w:t>
            </w:r>
          </w:p>
        </w:tc>
        <w:tc>
          <w:tcPr>
            <w:tcW w:w="792" w:type="dxa"/>
            <w:noWrap w:val="0"/>
            <w:vAlign w:val="center"/>
          </w:tcPr>
          <w:p w14:paraId="20EF7DCA">
            <w:pPr>
              <w:shd w:val="clear" w:color="auto" w:fill="auto"/>
              <w:spacing w:line="240" w:lineRule="auto"/>
              <w:ind w:firstLine="171" w:firstLineChars="95"/>
              <w:rPr>
                <w:rFonts w:hint="eastAsia" w:ascii="宋体" w:hAnsi="宋体" w:eastAsia="宋体" w:cs="宋体"/>
                <w:color w:val="auto"/>
                <w:sz w:val="18"/>
                <w:szCs w:val="18"/>
                <w:highlight w:val="none"/>
              </w:rPr>
            </w:pPr>
          </w:p>
        </w:tc>
        <w:tc>
          <w:tcPr>
            <w:tcW w:w="794" w:type="dxa"/>
            <w:noWrap w:val="0"/>
            <w:vAlign w:val="center"/>
          </w:tcPr>
          <w:p w14:paraId="00DADA3C">
            <w:pPr>
              <w:shd w:val="clear" w:color="auto" w:fill="auto"/>
              <w:spacing w:line="240" w:lineRule="auto"/>
              <w:ind w:firstLine="420"/>
              <w:rPr>
                <w:rFonts w:hint="eastAsia" w:ascii="宋体" w:hAnsi="宋体" w:eastAsia="宋体" w:cs="宋体"/>
                <w:color w:val="auto"/>
                <w:sz w:val="18"/>
                <w:szCs w:val="18"/>
                <w:highlight w:val="none"/>
              </w:rPr>
            </w:pPr>
          </w:p>
        </w:tc>
        <w:tc>
          <w:tcPr>
            <w:tcW w:w="793" w:type="dxa"/>
            <w:noWrap w:val="0"/>
            <w:vAlign w:val="center"/>
          </w:tcPr>
          <w:p w14:paraId="238139C6">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05372498">
            <w:pPr>
              <w:shd w:val="clear" w:color="auto" w:fill="auto"/>
              <w:spacing w:line="240" w:lineRule="auto"/>
              <w:ind w:firstLine="420"/>
              <w:rPr>
                <w:rFonts w:hint="eastAsia" w:ascii="宋体" w:hAnsi="宋体" w:eastAsia="宋体" w:cs="宋体"/>
                <w:color w:val="auto"/>
                <w:sz w:val="18"/>
                <w:szCs w:val="18"/>
                <w:highlight w:val="none"/>
              </w:rPr>
            </w:pPr>
          </w:p>
        </w:tc>
        <w:tc>
          <w:tcPr>
            <w:tcW w:w="794" w:type="dxa"/>
            <w:noWrap w:val="0"/>
            <w:vAlign w:val="center"/>
          </w:tcPr>
          <w:p w14:paraId="57FE1AF7">
            <w:pPr>
              <w:shd w:val="clear" w:color="auto" w:fill="auto"/>
              <w:spacing w:line="240" w:lineRule="auto"/>
              <w:ind w:firstLine="420"/>
              <w:rPr>
                <w:rFonts w:hint="eastAsia" w:ascii="宋体" w:hAnsi="宋体" w:eastAsia="宋体" w:cs="宋体"/>
                <w:color w:val="auto"/>
                <w:sz w:val="18"/>
                <w:szCs w:val="18"/>
                <w:highlight w:val="none"/>
              </w:rPr>
            </w:pPr>
          </w:p>
        </w:tc>
        <w:tc>
          <w:tcPr>
            <w:tcW w:w="4374" w:type="dxa"/>
            <w:noWrap w:val="0"/>
            <w:vAlign w:val="center"/>
          </w:tcPr>
          <w:p w14:paraId="679CFAC4">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1.日常记录</w:t>
            </w:r>
          </w:p>
          <w:p w14:paraId="266C1BFF">
            <w:pPr>
              <w:shd w:val="clear" w:color="auto" w:fill="auto"/>
              <w:spacing w:line="240" w:lineRule="auto"/>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《保安值班记录表》、《巡逻签到表》（或电子巡逻记录）、《来人来访登记表》、《车辆出入登记表》、《培训记录表》、《危险品车辆记录》、《通道车辆登记表》、《巡查登记表》等</w:t>
            </w:r>
          </w:p>
          <w:p w14:paraId="5E6B7D77">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2.月度记录</w:t>
            </w:r>
          </w:p>
          <w:p w14:paraId="74886A21">
            <w:pPr>
              <w:shd w:val="clear" w:color="auto" w:fill="auto"/>
              <w:spacing w:line="240" w:lineRule="auto"/>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《培训计划表》、《消防器材检查记录》</w:t>
            </w:r>
          </w:p>
          <w:p w14:paraId="589A5946">
            <w:pPr>
              <w:shd w:val="clear" w:color="auto" w:fill="auto"/>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3.年度记录</w:t>
            </w:r>
          </w:p>
          <w:p w14:paraId="49F11F56">
            <w:pPr>
              <w:shd w:val="clear" w:color="auto" w:fill="auto"/>
              <w:spacing w:line="240" w:lineRule="auto"/>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《消防演习方案》、《紧急集合检查记录表》、灭火的相关记录（会议记录、应急行动记录）</w:t>
            </w:r>
          </w:p>
        </w:tc>
      </w:tr>
    </w:tbl>
    <w:p w14:paraId="380784C3">
      <w:pPr>
        <w:shd w:val="clear" w:color="auto" w:fill="auto"/>
        <w:autoSpaceDE w:val="0"/>
        <w:autoSpaceDN w:val="0"/>
        <w:adjustRightInd w:val="0"/>
        <w:jc w:val="center"/>
        <w:rPr>
          <w:rFonts w:hint="eastAsia" w:ascii="宋体" w:hAnsi="宋体" w:eastAsia="宋体" w:cs="宋体"/>
          <w:b/>
          <w:color w:val="auto"/>
          <w:sz w:val="36"/>
          <w:szCs w:val="36"/>
          <w:highlight w:val="none"/>
          <w:lang w:val="zh-CN"/>
        </w:rPr>
      </w:pPr>
      <w:r>
        <w:rPr>
          <w:rFonts w:hint="eastAsia" w:ascii="宋体" w:hAnsi="宋体" w:eastAsia="宋体" w:cs="宋体"/>
          <w:bCs/>
          <w:color w:val="auto"/>
          <w:sz w:val="36"/>
          <w:szCs w:val="36"/>
          <w:highlight w:val="none"/>
          <w:lang w:val="zh-CN"/>
        </w:rPr>
        <w:br w:type="page"/>
      </w:r>
      <w:r>
        <w:rPr>
          <w:rFonts w:hint="eastAsia" w:ascii="宋体" w:hAnsi="宋体" w:eastAsia="宋体" w:cs="宋体"/>
          <w:b/>
          <w:color w:val="auto"/>
          <w:sz w:val="32"/>
          <w:szCs w:val="32"/>
          <w:highlight w:val="none"/>
          <w:lang w:val="zh-CN"/>
        </w:rPr>
        <w:t>停车区保洁工作量化标准</w:t>
      </w:r>
    </w:p>
    <w:p w14:paraId="7C1D306B">
      <w:pPr>
        <w:shd w:val="clear" w:color="auto" w:fill="auto"/>
        <w:spacing w:line="24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一、公共卫生间</w:t>
      </w:r>
    </w:p>
    <w:p w14:paraId="624AB477">
      <w:pPr>
        <w:shd w:val="clear" w:color="auto" w:fill="auto"/>
        <w:spacing w:line="24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1、工作内容：</w:t>
      </w:r>
    </w:p>
    <w:p w14:paraId="3DC69E4A">
      <w:pPr>
        <w:shd w:val="clear" w:color="auto" w:fill="auto"/>
        <w:spacing w:line="24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天早晚对公共卫生间大清洗两次。通风换气，清洗烟灰缸，清扫地面垃圾，倾倒垃圾桶内垃圾，换新的垃圾袋，垃圾桶大清洁；卫生间瓷砖地面去污、干拖地面，去除污渍，清洗大小便器，清洗洗手盆，用毛巾抹墙面台面开关、门牌，隔断，擦干净玻璃镜面，拖净地面，放置香球或除臭块。发现墙面、隔断有字及时清洁。卫生间内绿化清洁，卫生间内宣传告示牌的清洁，防滑地毯的清洗。补充洗手液等卫生用品。做好台账记录。</w:t>
      </w:r>
    </w:p>
    <w:p w14:paraId="7263447F">
      <w:pPr>
        <w:shd w:val="clear" w:color="auto" w:fill="auto"/>
        <w:spacing w:line="24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2、工作频率：</w:t>
      </w:r>
    </w:p>
    <w:tbl>
      <w:tblPr>
        <w:tblStyle w:val="24"/>
        <w:tblW w:w="9320" w:type="dxa"/>
        <w:jc w:val="center"/>
        <w:tblLayout w:type="fixed"/>
        <w:tblCellMar>
          <w:top w:w="0" w:type="dxa"/>
          <w:left w:w="108" w:type="dxa"/>
          <w:bottom w:w="0" w:type="dxa"/>
          <w:right w:w="108" w:type="dxa"/>
        </w:tblCellMar>
      </w:tblPr>
      <w:tblGrid>
        <w:gridCol w:w="2774"/>
        <w:gridCol w:w="887"/>
        <w:gridCol w:w="692"/>
        <w:gridCol w:w="780"/>
        <w:gridCol w:w="780"/>
        <w:gridCol w:w="750"/>
        <w:gridCol w:w="795"/>
        <w:gridCol w:w="1862"/>
      </w:tblGrid>
      <w:tr w14:paraId="419CE1E1">
        <w:tblPrEx>
          <w:tblCellMar>
            <w:top w:w="0" w:type="dxa"/>
            <w:left w:w="108" w:type="dxa"/>
            <w:bottom w:w="0" w:type="dxa"/>
            <w:right w:w="108" w:type="dxa"/>
          </w:tblCellMar>
        </w:tblPrEx>
        <w:trPr>
          <w:trHeight w:val="289" w:hRule="atLeast"/>
          <w:jc w:val="center"/>
        </w:trPr>
        <w:tc>
          <w:tcPr>
            <w:tcW w:w="2774" w:type="dxa"/>
            <w:vMerge w:val="restart"/>
            <w:tcBorders>
              <w:top w:val="single" w:color="auto" w:sz="4" w:space="0"/>
              <w:left w:val="single" w:color="auto" w:sz="4" w:space="0"/>
              <w:bottom w:val="single" w:color="000000" w:sz="4" w:space="0"/>
              <w:right w:val="single" w:color="auto" w:sz="4" w:space="0"/>
            </w:tcBorders>
            <w:noWrap w:val="0"/>
            <w:vAlign w:val="center"/>
          </w:tcPr>
          <w:p w14:paraId="552F6EFA">
            <w:pPr>
              <w:widowControl/>
              <w:shd w:val="clear" w:color="auto" w:fill="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卫生间保洁</w:t>
            </w:r>
          </w:p>
        </w:tc>
        <w:tc>
          <w:tcPr>
            <w:tcW w:w="4684" w:type="dxa"/>
            <w:gridSpan w:val="6"/>
            <w:tcBorders>
              <w:top w:val="single" w:color="auto" w:sz="4" w:space="0"/>
              <w:left w:val="nil"/>
              <w:bottom w:val="single" w:color="auto" w:sz="4" w:space="0"/>
              <w:right w:val="single" w:color="000000" w:sz="4" w:space="0"/>
            </w:tcBorders>
            <w:noWrap w:val="0"/>
            <w:vAlign w:val="center"/>
          </w:tcPr>
          <w:p w14:paraId="33BB0A52">
            <w:pPr>
              <w:widowControl/>
              <w:shd w:val="clear" w:color="auto" w:fill="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862" w:type="dxa"/>
            <w:tcBorders>
              <w:top w:val="single" w:color="auto" w:sz="4" w:space="0"/>
              <w:left w:val="nil"/>
              <w:bottom w:val="single" w:color="auto" w:sz="4" w:space="0"/>
              <w:right w:val="single" w:color="auto" w:sz="4" w:space="0"/>
            </w:tcBorders>
            <w:noWrap w:val="0"/>
            <w:vAlign w:val="center"/>
          </w:tcPr>
          <w:p w14:paraId="57F1F100">
            <w:pPr>
              <w:widowControl/>
              <w:shd w:val="clear" w:color="auto" w:fill="auto"/>
              <w:ind w:firstLine="180" w:firstLineChars="1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14:paraId="0ADBF4CD">
        <w:tblPrEx>
          <w:tblCellMar>
            <w:top w:w="0" w:type="dxa"/>
            <w:left w:w="108" w:type="dxa"/>
            <w:bottom w:w="0" w:type="dxa"/>
            <w:right w:w="108" w:type="dxa"/>
          </w:tblCellMar>
        </w:tblPrEx>
        <w:trPr>
          <w:trHeight w:val="289" w:hRule="atLeast"/>
          <w:jc w:val="center"/>
        </w:trPr>
        <w:tc>
          <w:tcPr>
            <w:tcW w:w="2774" w:type="dxa"/>
            <w:vMerge w:val="continue"/>
            <w:tcBorders>
              <w:top w:val="single" w:color="auto" w:sz="4" w:space="0"/>
              <w:left w:val="single" w:color="auto" w:sz="4" w:space="0"/>
              <w:bottom w:val="single" w:color="000000" w:sz="4" w:space="0"/>
              <w:right w:val="single" w:color="auto" w:sz="4" w:space="0"/>
            </w:tcBorders>
            <w:noWrap w:val="0"/>
            <w:vAlign w:val="center"/>
          </w:tcPr>
          <w:p w14:paraId="183F920B">
            <w:pPr>
              <w:widowControl/>
              <w:shd w:val="clear" w:color="auto" w:fill="auto"/>
              <w:ind w:firstLine="480"/>
              <w:jc w:val="left"/>
              <w:rPr>
                <w:rFonts w:hint="eastAsia" w:ascii="宋体" w:hAnsi="宋体" w:eastAsia="宋体" w:cs="宋体"/>
                <w:color w:val="auto"/>
                <w:kern w:val="0"/>
                <w:sz w:val="18"/>
                <w:szCs w:val="18"/>
                <w:highlight w:val="none"/>
              </w:rPr>
            </w:pPr>
          </w:p>
        </w:tc>
        <w:tc>
          <w:tcPr>
            <w:tcW w:w="887" w:type="dxa"/>
            <w:tcBorders>
              <w:top w:val="nil"/>
              <w:left w:val="nil"/>
              <w:bottom w:val="nil"/>
              <w:right w:val="nil"/>
            </w:tcBorders>
            <w:noWrap w:val="0"/>
            <w:vAlign w:val="center"/>
          </w:tcPr>
          <w:p w14:paraId="31C3F327">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692" w:type="dxa"/>
            <w:tcBorders>
              <w:top w:val="nil"/>
              <w:left w:val="single" w:color="auto" w:sz="4" w:space="0"/>
              <w:bottom w:val="single" w:color="auto" w:sz="4" w:space="0"/>
              <w:right w:val="single" w:color="auto" w:sz="4" w:space="0"/>
            </w:tcBorders>
            <w:noWrap w:val="0"/>
            <w:vAlign w:val="top"/>
          </w:tcPr>
          <w:p w14:paraId="3BDC2645">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80" w:type="dxa"/>
            <w:tcBorders>
              <w:top w:val="nil"/>
              <w:left w:val="nil"/>
              <w:bottom w:val="single" w:color="auto" w:sz="4" w:space="0"/>
              <w:right w:val="single" w:color="auto" w:sz="4" w:space="0"/>
            </w:tcBorders>
            <w:noWrap w:val="0"/>
            <w:vAlign w:val="top"/>
          </w:tcPr>
          <w:p w14:paraId="7BFCF804">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780" w:type="dxa"/>
            <w:tcBorders>
              <w:top w:val="nil"/>
              <w:left w:val="nil"/>
              <w:bottom w:val="single" w:color="auto" w:sz="4" w:space="0"/>
              <w:right w:val="single" w:color="auto" w:sz="4" w:space="0"/>
            </w:tcBorders>
            <w:noWrap w:val="0"/>
            <w:vAlign w:val="top"/>
          </w:tcPr>
          <w:p w14:paraId="2C283CDC">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750" w:type="dxa"/>
            <w:tcBorders>
              <w:top w:val="nil"/>
              <w:left w:val="nil"/>
              <w:bottom w:val="single" w:color="auto" w:sz="4" w:space="0"/>
              <w:right w:val="single" w:color="auto" w:sz="4" w:space="0"/>
            </w:tcBorders>
            <w:noWrap w:val="0"/>
            <w:vAlign w:val="top"/>
          </w:tcPr>
          <w:p w14:paraId="74C8A696">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95" w:type="dxa"/>
            <w:tcBorders>
              <w:top w:val="nil"/>
              <w:left w:val="nil"/>
              <w:bottom w:val="single" w:color="auto" w:sz="4" w:space="0"/>
              <w:right w:val="single" w:color="auto" w:sz="4" w:space="0"/>
            </w:tcBorders>
            <w:noWrap w:val="0"/>
            <w:vAlign w:val="top"/>
          </w:tcPr>
          <w:p w14:paraId="725B518C">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862" w:type="dxa"/>
            <w:tcBorders>
              <w:top w:val="nil"/>
              <w:left w:val="nil"/>
              <w:bottom w:val="single" w:color="auto" w:sz="4" w:space="0"/>
              <w:right w:val="single" w:color="auto" w:sz="4" w:space="0"/>
            </w:tcBorders>
            <w:noWrap w:val="0"/>
            <w:vAlign w:val="center"/>
          </w:tcPr>
          <w:p w14:paraId="177B32AA">
            <w:pPr>
              <w:widowControl/>
              <w:shd w:val="clear" w:color="auto" w:fill="auto"/>
              <w:ind w:firstLine="480"/>
              <w:jc w:val="left"/>
              <w:rPr>
                <w:rFonts w:hint="eastAsia" w:ascii="宋体" w:hAnsi="宋体" w:eastAsia="宋体" w:cs="宋体"/>
                <w:color w:val="auto"/>
                <w:kern w:val="0"/>
                <w:sz w:val="18"/>
                <w:szCs w:val="18"/>
                <w:highlight w:val="none"/>
              </w:rPr>
            </w:pPr>
          </w:p>
        </w:tc>
      </w:tr>
      <w:tr w14:paraId="6B595970">
        <w:tblPrEx>
          <w:tblCellMar>
            <w:top w:w="0" w:type="dxa"/>
            <w:left w:w="108" w:type="dxa"/>
            <w:bottom w:w="0" w:type="dxa"/>
            <w:right w:w="108" w:type="dxa"/>
          </w:tblCellMar>
        </w:tblPrEx>
        <w:trPr>
          <w:trHeight w:val="292" w:hRule="atLeast"/>
          <w:jc w:val="center"/>
        </w:trPr>
        <w:tc>
          <w:tcPr>
            <w:tcW w:w="2774" w:type="dxa"/>
            <w:tcBorders>
              <w:top w:val="nil"/>
              <w:left w:val="single" w:color="auto" w:sz="4" w:space="0"/>
              <w:bottom w:val="single" w:color="auto" w:sz="4" w:space="0"/>
              <w:right w:val="single" w:color="auto" w:sz="4" w:space="0"/>
            </w:tcBorders>
            <w:noWrap w:val="0"/>
            <w:vAlign w:val="center"/>
          </w:tcPr>
          <w:p w14:paraId="2FFD4251">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便器、洗水盆、不锈钢面</w:t>
            </w:r>
          </w:p>
        </w:tc>
        <w:tc>
          <w:tcPr>
            <w:tcW w:w="887" w:type="dxa"/>
            <w:tcBorders>
              <w:top w:val="single" w:color="auto" w:sz="4" w:space="0"/>
              <w:left w:val="nil"/>
              <w:bottom w:val="single" w:color="auto" w:sz="4" w:space="0"/>
              <w:right w:val="single" w:color="auto" w:sz="4" w:space="0"/>
            </w:tcBorders>
            <w:noWrap w:val="0"/>
            <w:vAlign w:val="center"/>
          </w:tcPr>
          <w:p w14:paraId="3726B7D4">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692" w:type="dxa"/>
            <w:tcBorders>
              <w:top w:val="nil"/>
              <w:left w:val="nil"/>
              <w:bottom w:val="single" w:color="auto" w:sz="4" w:space="0"/>
              <w:right w:val="single" w:color="auto" w:sz="4" w:space="0"/>
            </w:tcBorders>
            <w:noWrap w:val="0"/>
            <w:vAlign w:val="center"/>
          </w:tcPr>
          <w:p w14:paraId="0CFEFE7D">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4C3E32B7">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3388AB5E">
            <w:pPr>
              <w:widowControl/>
              <w:shd w:val="clear" w:color="auto" w:fill="auto"/>
              <w:ind w:firstLine="480"/>
              <w:jc w:val="center"/>
              <w:rPr>
                <w:rFonts w:hint="eastAsia" w:ascii="宋体" w:hAnsi="宋体" w:eastAsia="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1C3A8E5C">
            <w:pPr>
              <w:widowControl/>
              <w:shd w:val="clear" w:color="auto" w:fill="auto"/>
              <w:ind w:firstLine="480"/>
              <w:jc w:val="center"/>
              <w:rPr>
                <w:rFonts w:hint="eastAsia" w:ascii="宋体" w:hAnsi="宋体" w:eastAsia="宋体" w:cs="宋体"/>
                <w:color w:val="auto"/>
                <w:kern w:val="0"/>
                <w:sz w:val="18"/>
                <w:szCs w:val="18"/>
                <w:highlight w:val="none"/>
              </w:rPr>
            </w:pPr>
          </w:p>
        </w:tc>
        <w:tc>
          <w:tcPr>
            <w:tcW w:w="795" w:type="dxa"/>
            <w:tcBorders>
              <w:top w:val="nil"/>
              <w:left w:val="nil"/>
              <w:bottom w:val="single" w:color="auto" w:sz="4" w:space="0"/>
              <w:right w:val="single" w:color="auto" w:sz="4" w:space="0"/>
            </w:tcBorders>
            <w:noWrap w:val="0"/>
            <w:vAlign w:val="center"/>
          </w:tcPr>
          <w:p w14:paraId="6233A058">
            <w:pPr>
              <w:widowControl/>
              <w:shd w:val="clear" w:color="auto" w:fill="auto"/>
              <w:ind w:firstLine="480"/>
              <w:jc w:val="center"/>
              <w:rPr>
                <w:rFonts w:hint="eastAsia" w:ascii="宋体" w:hAnsi="宋体" w:eastAsia="宋体" w:cs="宋体"/>
                <w:color w:val="auto"/>
                <w:kern w:val="0"/>
                <w:sz w:val="18"/>
                <w:szCs w:val="18"/>
                <w:highlight w:val="none"/>
              </w:rPr>
            </w:pPr>
          </w:p>
        </w:tc>
        <w:tc>
          <w:tcPr>
            <w:tcW w:w="1862" w:type="dxa"/>
            <w:tcBorders>
              <w:top w:val="nil"/>
              <w:left w:val="nil"/>
              <w:bottom w:val="single" w:color="auto" w:sz="4" w:space="0"/>
              <w:right w:val="single" w:color="auto" w:sz="4" w:space="0"/>
            </w:tcBorders>
            <w:noWrap w:val="0"/>
            <w:vAlign w:val="center"/>
          </w:tcPr>
          <w:p w14:paraId="70B0CB84">
            <w:pPr>
              <w:widowControl/>
              <w:shd w:val="clear" w:color="auto" w:fill="auto"/>
              <w:ind w:firstLine="480"/>
              <w:rPr>
                <w:rFonts w:hint="eastAsia" w:ascii="宋体" w:hAnsi="宋体" w:eastAsia="宋体" w:cs="宋体"/>
                <w:color w:val="auto"/>
                <w:kern w:val="0"/>
                <w:sz w:val="18"/>
                <w:szCs w:val="18"/>
                <w:highlight w:val="none"/>
              </w:rPr>
            </w:pPr>
          </w:p>
        </w:tc>
      </w:tr>
      <w:tr w14:paraId="2DCE65E5">
        <w:tblPrEx>
          <w:tblCellMar>
            <w:top w:w="0" w:type="dxa"/>
            <w:left w:w="108" w:type="dxa"/>
            <w:bottom w:w="0" w:type="dxa"/>
            <w:right w:w="108" w:type="dxa"/>
          </w:tblCellMar>
        </w:tblPrEx>
        <w:trPr>
          <w:trHeight w:val="289" w:hRule="atLeast"/>
          <w:jc w:val="center"/>
        </w:trPr>
        <w:tc>
          <w:tcPr>
            <w:tcW w:w="2774" w:type="dxa"/>
            <w:tcBorders>
              <w:top w:val="nil"/>
              <w:left w:val="single" w:color="auto" w:sz="4" w:space="0"/>
              <w:bottom w:val="single" w:color="auto" w:sz="4" w:space="0"/>
              <w:right w:val="single" w:color="auto" w:sz="4" w:space="0"/>
            </w:tcBorders>
            <w:noWrap w:val="0"/>
            <w:vAlign w:val="center"/>
          </w:tcPr>
          <w:p w14:paraId="6708CFFA">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玻璃、镜面</w:t>
            </w:r>
          </w:p>
        </w:tc>
        <w:tc>
          <w:tcPr>
            <w:tcW w:w="887" w:type="dxa"/>
            <w:tcBorders>
              <w:top w:val="nil"/>
              <w:left w:val="nil"/>
              <w:bottom w:val="single" w:color="auto" w:sz="4" w:space="0"/>
              <w:right w:val="single" w:color="auto" w:sz="4" w:space="0"/>
            </w:tcBorders>
            <w:noWrap w:val="0"/>
            <w:vAlign w:val="center"/>
          </w:tcPr>
          <w:p w14:paraId="1B7D76B4">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692" w:type="dxa"/>
            <w:tcBorders>
              <w:top w:val="nil"/>
              <w:left w:val="nil"/>
              <w:bottom w:val="single" w:color="auto" w:sz="4" w:space="0"/>
              <w:right w:val="single" w:color="auto" w:sz="4" w:space="0"/>
            </w:tcBorders>
            <w:noWrap w:val="0"/>
            <w:vAlign w:val="center"/>
          </w:tcPr>
          <w:p w14:paraId="366FD3A6">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0D37918D">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1E78314C">
            <w:pPr>
              <w:widowControl/>
              <w:shd w:val="clear" w:color="auto" w:fill="auto"/>
              <w:ind w:firstLine="480"/>
              <w:jc w:val="center"/>
              <w:rPr>
                <w:rFonts w:hint="eastAsia" w:ascii="宋体" w:hAnsi="宋体" w:eastAsia="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412CE625">
            <w:pPr>
              <w:widowControl/>
              <w:shd w:val="clear" w:color="auto" w:fill="auto"/>
              <w:ind w:firstLine="480"/>
              <w:jc w:val="center"/>
              <w:rPr>
                <w:rFonts w:hint="eastAsia" w:ascii="宋体" w:hAnsi="宋体" w:eastAsia="宋体" w:cs="宋体"/>
                <w:color w:val="auto"/>
                <w:kern w:val="0"/>
                <w:sz w:val="18"/>
                <w:szCs w:val="18"/>
                <w:highlight w:val="none"/>
              </w:rPr>
            </w:pPr>
          </w:p>
        </w:tc>
        <w:tc>
          <w:tcPr>
            <w:tcW w:w="795" w:type="dxa"/>
            <w:tcBorders>
              <w:top w:val="nil"/>
              <w:left w:val="nil"/>
              <w:bottom w:val="single" w:color="auto" w:sz="4" w:space="0"/>
              <w:right w:val="single" w:color="auto" w:sz="4" w:space="0"/>
            </w:tcBorders>
            <w:noWrap w:val="0"/>
            <w:vAlign w:val="center"/>
          </w:tcPr>
          <w:p w14:paraId="70B98529">
            <w:pPr>
              <w:widowControl/>
              <w:shd w:val="clear" w:color="auto" w:fill="auto"/>
              <w:ind w:firstLine="480"/>
              <w:jc w:val="center"/>
              <w:rPr>
                <w:rFonts w:hint="eastAsia" w:ascii="宋体" w:hAnsi="宋体" w:eastAsia="宋体" w:cs="宋体"/>
                <w:color w:val="auto"/>
                <w:kern w:val="0"/>
                <w:sz w:val="18"/>
                <w:szCs w:val="18"/>
                <w:highlight w:val="none"/>
              </w:rPr>
            </w:pPr>
          </w:p>
        </w:tc>
        <w:tc>
          <w:tcPr>
            <w:tcW w:w="1862" w:type="dxa"/>
            <w:tcBorders>
              <w:top w:val="nil"/>
              <w:left w:val="nil"/>
              <w:bottom w:val="single" w:color="auto" w:sz="4" w:space="0"/>
              <w:right w:val="single" w:color="auto" w:sz="4" w:space="0"/>
            </w:tcBorders>
            <w:noWrap w:val="0"/>
            <w:vAlign w:val="center"/>
          </w:tcPr>
          <w:p w14:paraId="7E1675DD">
            <w:pPr>
              <w:widowControl/>
              <w:shd w:val="clear" w:color="auto" w:fill="auto"/>
              <w:ind w:firstLine="480"/>
              <w:rPr>
                <w:rFonts w:hint="eastAsia" w:ascii="宋体" w:hAnsi="宋体" w:eastAsia="宋体" w:cs="宋体"/>
                <w:color w:val="auto"/>
                <w:kern w:val="0"/>
                <w:sz w:val="18"/>
                <w:szCs w:val="18"/>
                <w:highlight w:val="none"/>
              </w:rPr>
            </w:pPr>
          </w:p>
        </w:tc>
      </w:tr>
      <w:tr w14:paraId="11EF7020">
        <w:tblPrEx>
          <w:tblCellMar>
            <w:top w:w="0" w:type="dxa"/>
            <w:left w:w="108" w:type="dxa"/>
            <w:bottom w:w="0" w:type="dxa"/>
            <w:right w:w="108" w:type="dxa"/>
          </w:tblCellMar>
        </w:tblPrEx>
        <w:trPr>
          <w:trHeight w:val="289" w:hRule="atLeast"/>
          <w:jc w:val="center"/>
        </w:trPr>
        <w:tc>
          <w:tcPr>
            <w:tcW w:w="2774" w:type="dxa"/>
            <w:tcBorders>
              <w:top w:val="nil"/>
              <w:left w:val="single" w:color="auto" w:sz="4" w:space="0"/>
              <w:bottom w:val="single" w:color="auto" w:sz="4" w:space="0"/>
              <w:right w:val="single" w:color="auto" w:sz="4" w:space="0"/>
            </w:tcBorders>
            <w:noWrap w:val="0"/>
            <w:vAlign w:val="center"/>
          </w:tcPr>
          <w:p w14:paraId="613CF405">
            <w:pPr>
              <w:widowControl/>
              <w:shd w:val="clear" w:color="auto" w:fill="auto"/>
              <w:ind w:firstLine="48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瓷砖地面</w:t>
            </w:r>
          </w:p>
        </w:tc>
        <w:tc>
          <w:tcPr>
            <w:tcW w:w="887" w:type="dxa"/>
            <w:tcBorders>
              <w:top w:val="nil"/>
              <w:left w:val="nil"/>
              <w:bottom w:val="single" w:color="auto" w:sz="4" w:space="0"/>
              <w:right w:val="single" w:color="auto" w:sz="4" w:space="0"/>
            </w:tcBorders>
            <w:noWrap w:val="0"/>
            <w:vAlign w:val="center"/>
          </w:tcPr>
          <w:p w14:paraId="12B67043">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692" w:type="dxa"/>
            <w:tcBorders>
              <w:top w:val="nil"/>
              <w:left w:val="nil"/>
              <w:bottom w:val="single" w:color="auto" w:sz="4" w:space="0"/>
              <w:right w:val="single" w:color="auto" w:sz="4" w:space="0"/>
            </w:tcBorders>
            <w:noWrap w:val="0"/>
            <w:vAlign w:val="center"/>
          </w:tcPr>
          <w:p w14:paraId="632B28F8">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374DD50C">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4FF62F3D">
            <w:pPr>
              <w:widowControl/>
              <w:shd w:val="clear" w:color="auto" w:fill="auto"/>
              <w:ind w:firstLine="480"/>
              <w:jc w:val="center"/>
              <w:rPr>
                <w:rFonts w:hint="eastAsia" w:ascii="宋体" w:hAnsi="宋体" w:eastAsia="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0EB501CE">
            <w:pPr>
              <w:widowControl/>
              <w:shd w:val="clear" w:color="auto" w:fill="auto"/>
              <w:ind w:firstLine="480"/>
              <w:jc w:val="center"/>
              <w:rPr>
                <w:rFonts w:hint="eastAsia" w:ascii="宋体" w:hAnsi="宋体" w:eastAsia="宋体" w:cs="宋体"/>
                <w:color w:val="auto"/>
                <w:kern w:val="0"/>
                <w:sz w:val="18"/>
                <w:szCs w:val="18"/>
                <w:highlight w:val="none"/>
              </w:rPr>
            </w:pPr>
          </w:p>
        </w:tc>
        <w:tc>
          <w:tcPr>
            <w:tcW w:w="795" w:type="dxa"/>
            <w:tcBorders>
              <w:top w:val="nil"/>
              <w:left w:val="nil"/>
              <w:bottom w:val="single" w:color="auto" w:sz="4" w:space="0"/>
              <w:right w:val="single" w:color="auto" w:sz="4" w:space="0"/>
            </w:tcBorders>
            <w:noWrap w:val="0"/>
            <w:vAlign w:val="center"/>
          </w:tcPr>
          <w:p w14:paraId="04B0AA51">
            <w:pPr>
              <w:widowControl/>
              <w:shd w:val="clear" w:color="auto" w:fill="auto"/>
              <w:ind w:firstLine="480"/>
              <w:jc w:val="center"/>
              <w:rPr>
                <w:rFonts w:hint="eastAsia" w:ascii="宋体" w:hAnsi="宋体" w:eastAsia="宋体" w:cs="宋体"/>
                <w:color w:val="auto"/>
                <w:kern w:val="0"/>
                <w:sz w:val="18"/>
                <w:szCs w:val="18"/>
                <w:highlight w:val="none"/>
              </w:rPr>
            </w:pPr>
          </w:p>
        </w:tc>
        <w:tc>
          <w:tcPr>
            <w:tcW w:w="1862" w:type="dxa"/>
            <w:tcBorders>
              <w:top w:val="nil"/>
              <w:left w:val="nil"/>
              <w:bottom w:val="single" w:color="auto" w:sz="4" w:space="0"/>
              <w:right w:val="single" w:color="auto" w:sz="4" w:space="0"/>
            </w:tcBorders>
            <w:noWrap w:val="0"/>
            <w:vAlign w:val="center"/>
          </w:tcPr>
          <w:p w14:paraId="59190DEA">
            <w:pPr>
              <w:widowControl/>
              <w:shd w:val="clear" w:color="auto" w:fill="auto"/>
              <w:ind w:firstLine="480"/>
              <w:rPr>
                <w:rFonts w:hint="eastAsia" w:ascii="宋体" w:hAnsi="宋体" w:eastAsia="宋体" w:cs="宋体"/>
                <w:color w:val="auto"/>
                <w:kern w:val="0"/>
                <w:sz w:val="18"/>
                <w:szCs w:val="18"/>
                <w:highlight w:val="none"/>
              </w:rPr>
            </w:pPr>
          </w:p>
        </w:tc>
      </w:tr>
      <w:tr w14:paraId="3970F61C">
        <w:tblPrEx>
          <w:tblCellMar>
            <w:top w:w="0" w:type="dxa"/>
            <w:left w:w="108" w:type="dxa"/>
            <w:bottom w:w="0" w:type="dxa"/>
            <w:right w:w="108" w:type="dxa"/>
          </w:tblCellMar>
        </w:tblPrEx>
        <w:trPr>
          <w:trHeight w:val="568" w:hRule="atLeast"/>
          <w:jc w:val="center"/>
        </w:trPr>
        <w:tc>
          <w:tcPr>
            <w:tcW w:w="2774" w:type="dxa"/>
            <w:tcBorders>
              <w:top w:val="nil"/>
              <w:left w:val="single" w:color="auto" w:sz="4" w:space="0"/>
              <w:bottom w:val="single" w:color="auto" w:sz="4" w:space="0"/>
              <w:right w:val="single" w:color="auto" w:sz="4" w:space="0"/>
            </w:tcBorders>
            <w:noWrap w:val="0"/>
            <w:vAlign w:val="center"/>
          </w:tcPr>
          <w:p w14:paraId="354F2151">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墙面2米以下、隔断板、地面墙角、门背后</w:t>
            </w:r>
          </w:p>
        </w:tc>
        <w:tc>
          <w:tcPr>
            <w:tcW w:w="887" w:type="dxa"/>
            <w:tcBorders>
              <w:top w:val="nil"/>
              <w:left w:val="nil"/>
              <w:bottom w:val="single" w:color="auto" w:sz="4" w:space="0"/>
              <w:right w:val="single" w:color="auto" w:sz="4" w:space="0"/>
            </w:tcBorders>
            <w:noWrap w:val="0"/>
            <w:vAlign w:val="center"/>
          </w:tcPr>
          <w:p w14:paraId="3AD19B7D">
            <w:pPr>
              <w:widowControl/>
              <w:shd w:val="clear" w:color="auto" w:fill="auto"/>
              <w:ind w:firstLine="149" w:firstLineChars="83"/>
              <w:rPr>
                <w:rFonts w:hint="eastAsia" w:ascii="宋体" w:hAnsi="宋体" w:eastAsia="宋体" w:cs="宋体"/>
                <w:color w:val="auto"/>
                <w:kern w:val="0"/>
                <w:sz w:val="18"/>
                <w:szCs w:val="18"/>
                <w:highlight w:val="none"/>
              </w:rPr>
            </w:pPr>
          </w:p>
        </w:tc>
        <w:tc>
          <w:tcPr>
            <w:tcW w:w="692" w:type="dxa"/>
            <w:tcBorders>
              <w:top w:val="nil"/>
              <w:left w:val="nil"/>
              <w:bottom w:val="single" w:color="auto" w:sz="4" w:space="0"/>
              <w:right w:val="single" w:color="auto" w:sz="4" w:space="0"/>
            </w:tcBorders>
            <w:noWrap w:val="0"/>
            <w:vAlign w:val="center"/>
          </w:tcPr>
          <w:p w14:paraId="20708C55">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80" w:type="dxa"/>
            <w:tcBorders>
              <w:top w:val="nil"/>
              <w:left w:val="nil"/>
              <w:bottom w:val="single" w:color="auto" w:sz="4" w:space="0"/>
              <w:right w:val="single" w:color="auto" w:sz="4" w:space="0"/>
            </w:tcBorders>
            <w:noWrap w:val="0"/>
            <w:vAlign w:val="center"/>
          </w:tcPr>
          <w:p w14:paraId="0D9EC131">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233F0066">
            <w:pPr>
              <w:widowControl/>
              <w:shd w:val="clear" w:color="auto" w:fill="auto"/>
              <w:ind w:firstLine="480"/>
              <w:jc w:val="center"/>
              <w:rPr>
                <w:rFonts w:hint="eastAsia" w:ascii="宋体" w:hAnsi="宋体" w:eastAsia="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3896BAE4">
            <w:pPr>
              <w:widowControl/>
              <w:shd w:val="clear" w:color="auto" w:fill="auto"/>
              <w:ind w:firstLine="480"/>
              <w:jc w:val="center"/>
              <w:rPr>
                <w:rFonts w:hint="eastAsia" w:ascii="宋体" w:hAnsi="宋体" w:eastAsia="宋体" w:cs="宋体"/>
                <w:color w:val="auto"/>
                <w:kern w:val="0"/>
                <w:sz w:val="18"/>
                <w:szCs w:val="18"/>
                <w:highlight w:val="none"/>
              </w:rPr>
            </w:pPr>
          </w:p>
        </w:tc>
        <w:tc>
          <w:tcPr>
            <w:tcW w:w="795" w:type="dxa"/>
            <w:tcBorders>
              <w:top w:val="nil"/>
              <w:left w:val="nil"/>
              <w:bottom w:val="single" w:color="auto" w:sz="4" w:space="0"/>
              <w:right w:val="single" w:color="auto" w:sz="4" w:space="0"/>
            </w:tcBorders>
            <w:noWrap w:val="0"/>
            <w:vAlign w:val="center"/>
          </w:tcPr>
          <w:p w14:paraId="4731AC12">
            <w:pPr>
              <w:widowControl/>
              <w:shd w:val="clear" w:color="auto" w:fill="auto"/>
              <w:ind w:firstLine="480"/>
              <w:jc w:val="center"/>
              <w:rPr>
                <w:rFonts w:hint="eastAsia" w:ascii="宋体" w:hAnsi="宋体" w:eastAsia="宋体" w:cs="宋体"/>
                <w:color w:val="auto"/>
                <w:kern w:val="0"/>
                <w:sz w:val="18"/>
                <w:szCs w:val="18"/>
                <w:highlight w:val="none"/>
              </w:rPr>
            </w:pPr>
          </w:p>
        </w:tc>
        <w:tc>
          <w:tcPr>
            <w:tcW w:w="1862" w:type="dxa"/>
            <w:tcBorders>
              <w:top w:val="nil"/>
              <w:left w:val="nil"/>
              <w:bottom w:val="single" w:color="auto" w:sz="4" w:space="0"/>
              <w:right w:val="single" w:color="auto" w:sz="4" w:space="0"/>
            </w:tcBorders>
            <w:noWrap w:val="0"/>
            <w:vAlign w:val="center"/>
          </w:tcPr>
          <w:p w14:paraId="3D431F4F">
            <w:pPr>
              <w:widowControl/>
              <w:shd w:val="clear" w:color="auto" w:fill="auto"/>
              <w:ind w:firstLine="480"/>
              <w:rPr>
                <w:rFonts w:hint="eastAsia" w:ascii="宋体" w:hAnsi="宋体" w:eastAsia="宋体" w:cs="宋体"/>
                <w:color w:val="auto"/>
                <w:kern w:val="0"/>
                <w:sz w:val="18"/>
                <w:szCs w:val="18"/>
                <w:highlight w:val="none"/>
              </w:rPr>
            </w:pPr>
          </w:p>
        </w:tc>
      </w:tr>
      <w:tr w14:paraId="6B4A4000">
        <w:tblPrEx>
          <w:tblCellMar>
            <w:top w:w="0" w:type="dxa"/>
            <w:left w:w="108" w:type="dxa"/>
            <w:bottom w:w="0" w:type="dxa"/>
            <w:right w:w="108" w:type="dxa"/>
          </w:tblCellMar>
        </w:tblPrEx>
        <w:trPr>
          <w:trHeight w:val="289" w:hRule="atLeast"/>
          <w:jc w:val="center"/>
        </w:trPr>
        <w:tc>
          <w:tcPr>
            <w:tcW w:w="2774" w:type="dxa"/>
            <w:tcBorders>
              <w:top w:val="nil"/>
              <w:left w:val="single" w:color="auto" w:sz="4" w:space="0"/>
              <w:bottom w:val="single" w:color="auto" w:sz="4" w:space="0"/>
              <w:right w:val="single" w:color="auto" w:sz="4" w:space="0"/>
            </w:tcBorders>
            <w:noWrap w:val="0"/>
            <w:vAlign w:val="center"/>
          </w:tcPr>
          <w:p w14:paraId="1B158E51">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顶棚、灯具、换气扇</w:t>
            </w:r>
          </w:p>
        </w:tc>
        <w:tc>
          <w:tcPr>
            <w:tcW w:w="887" w:type="dxa"/>
            <w:tcBorders>
              <w:top w:val="nil"/>
              <w:left w:val="nil"/>
              <w:bottom w:val="single" w:color="auto" w:sz="4" w:space="0"/>
              <w:right w:val="single" w:color="auto" w:sz="4" w:space="0"/>
            </w:tcBorders>
            <w:noWrap w:val="0"/>
            <w:vAlign w:val="center"/>
          </w:tcPr>
          <w:p w14:paraId="6E4AC469">
            <w:pPr>
              <w:widowControl/>
              <w:shd w:val="clear" w:color="auto" w:fill="auto"/>
              <w:ind w:firstLine="149" w:firstLineChars="83"/>
              <w:rPr>
                <w:rFonts w:hint="eastAsia" w:ascii="宋体" w:hAnsi="宋体" w:eastAsia="宋体" w:cs="宋体"/>
                <w:color w:val="auto"/>
                <w:kern w:val="0"/>
                <w:sz w:val="18"/>
                <w:szCs w:val="18"/>
                <w:highlight w:val="none"/>
              </w:rPr>
            </w:pPr>
          </w:p>
        </w:tc>
        <w:tc>
          <w:tcPr>
            <w:tcW w:w="692" w:type="dxa"/>
            <w:tcBorders>
              <w:top w:val="nil"/>
              <w:left w:val="nil"/>
              <w:bottom w:val="single" w:color="auto" w:sz="4" w:space="0"/>
              <w:right w:val="single" w:color="auto" w:sz="4" w:space="0"/>
            </w:tcBorders>
            <w:noWrap w:val="0"/>
            <w:vAlign w:val="center"/>
          </w:tcPr>
          <w:p w14:paraId="2B666CEC">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389D8867">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2C48AEE1">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50" w:type="dxa"/>
            <w:tcBorders>
              <w:top w:val="nil"/>
              <w:left w:val="nil"/>
              <w:bottom w:val="single" w:color="auto" w:sz="4" w:space="0"/>
              <w:right w:val="single" w:color="auto" w:sz="4" w:space="0"/>
            </w:tcBorders>
            <w:noWrap w:val="0"/>
            <w:vAlign w:val="center"/>
          </w:tcPr>
          <w:p w14:paraId="3104782E">
            <w:pPr>
              <w:widowControl/>
              <w:shd w:val="clear" w:color="auto" w:fill="auto"/>
              <w:ind w:firstLine="480"/>
              <w:jc w:val="center"/>
              <w:rPr>
                <w:rFonts w:hint="eastAsia" w:ascii="宋体" w:hAnsi="宋体" w:eastAsia="宋体" w:cs="宋体"/>
                <w:color w:val="auto"/>
                <w:kern w:val="0"/>
                <w:sz w:val="18"/>
                <w:szCs w:val="18"/>
                <w:highlight w:val="none"/>
              </w:rPr>
            </w:pPr>
          </w:p>
        </w:tc>
        <w:tc>
          <w:tcPr>
            <w:tcW w:w="795" w:type="dxa"/>
            <w:tcBorders>
              <w:top w:val="nil"/>
              <w:left w:val="nil"/>
              <w:bottom w:val="single" w:color="auto" w:sz="4" w:space="0"/>
              <w:right w:val="single" w:color="auto" w:sz="4" w:space="0"/>
            </w:tcBorders>
            <w:noWrap w:val="0"/>
            <w:vAlign w:val="center"/>
          </w:tcPr>
          <w:p w14:paraId="67FDAC21">
            <w:pPr>
              <w:widowControl/>
              <w:shd w:val="clear" w:color="auto" w:fill="auto"/>
              <w:ind w:firstLine="480"/>
              <w:jc w:val="center"/>
              <w:rPr>
                <w:rFonts w:hint="eastAsia" w:ascii="宋体" w:hAnsi="宋体" w:eastAsia="宋体" w:cs="宋体"/>
                <w:color w:val="auto"/>
                <w:kern w:val="0"/>
                <w:sz w:val="18"/>
                <w:szCs w:val="18"/>
                <w:highlight w:val="none"/>
              </w:rPr>
            </w:pPr>
          </w:p>
        </w:tc>
        <w:tc>
          <w:tcPr>
            <w:tcW w:w="1862" w:type="dxa"/>
            <w:tcBorders>
              <w:top w:val="nil"/>
              <w:left w:val="nil"/>
              <w:bottom w:val="single" w:color="auto" w:sz="4" w:space="0"/>
              <w:right w:val="single" w:color="auto" w:sz="4" w:space="0"/>
            </w:tcBorders>
            <w:noWrap w:val="0"/>
            <w:vAlign w:val="center"/>
          </w:tcPr>
          <w:p w14:paraId="31FB31CD">
            <w:pPr>
              <w:widowControl/>
              <w:shd w:val="clear" w:color="auto" w:fill="auto"/>
              <w:ind w:firstLine="480"/>
              <w:rPr>
                <w:rFonts w:hint="eastAsia" w:ascii="宋体" w:hAnsi="宋体" w:eastAsia="宋体" w:cs="宋体"/>
                <w:color w:val="auto"/>
                <w:kern w:val="0"/>
                <w:sz w:val="18"/>
                <w:szCs w:val="18"/>
                <w:highlight w:val="none"/>
              </w:rPr>
            </w:pPr>
          </w:p>
        </w:tc>
      </w:tr>
      <w:tr w14:paraId="39BF4635">
        <w:tblPrEx>
          <w:tblCellMar>
            <w:top w:w="0" w:type="dxa"/>
            <w:left w:w="108" w:type="dxa"/>
            <w:bottom w:w="0" w:type="dxa"/>
            <w:right w:w="108" w:type="dxa"/>
          </w:tblCellMar>
        </w:tblPrEx>
        <w:trPr>
          <w:trHeight w:val="289" w:hRule="atLeast"/>
          <w:jc w:val="center"/>
        </w:trPr>
        <w:tc>
          <w:tcPr>
            <w:tcW w:w="2774" w:type="dxa"/>
            <w:tcBorders>
              <w:top w:val="nil"/>
              <w:left w:val="single" w:color="auto" w:sz="4" w:space="0"/>
              <w:bottom w:val="nil"/>
              <w:right w:val="single" w:color="auto" w:sz="4" w:space="0"/>
            </w:tcBorders>
            <w:noWrap w:val="0"/>
            <w:vAlign w:val="center"/>
          </w:tcPr>
          <w:p w14:paraId="6D496EC0">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卫生间台盆、面盆下</w:t>
            </w:r>
          </w:p>
        </w:tc>
        <w:tc>
          <w:tcPr>
            <w:tcW w:w="887" w:type="dxa"/>
            <w:tcBorders>
              <w:top w:val="nil"/>
              <w:left w:val="nil"/>
              <w:bottom w:val="single" w:color="auto" w:sz="4" w:space="0"/>
              <w:right w:val="single" w:color="auto" w:sz="4" w:space="0"/>
            </w:tcBorders>
            <w:noWrap w:val="0"/>
            <w:vAlign w:val="center"/>
          </w:tcPr>
          <w:p w14:paraId="67B55864">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692" w:type="dxa"/>
            <w:tcBorders>
              <w:top w:val="nil"/>
              <w:left w:val="nil"/>
              <w:bottom w:val="single" w:color="auto" w:sz="4" w:space="0"/>
              <w:right w:val="single" w:color="auto" w:sz="4" w:space="0"/>
            </w:tcBorders>
            <w:noWrap w:val="0"/>
            <w:vAlign w:val="center"/>
          </w:tcPr>
          <w:p w14:paraId="5D6C928B">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80" w:type="dxa"/>
            <w:tcBorders>
              <w:top w:val="nil"/>
              <w:left w:val="nil"/>
              <w:bottom w:val="single" w:color="auto" w:sz="4" w:space="0"/>
              <w:right w:val="single" w:color="auto" w:sz="4" w:space="0"/>
            </w:tcBorders>
            <w:noWrap w:val="0"/>
            <w:vAlign w:val="center"/>
          </w:tcPr>
          <w:p w14:paraId="49FDA943">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39EBA0C5">
            <w:pPr>
              <w:widowControl/>
              <w:shd w:val="clear" w:color="auto" w:fill="auto"/>
              <w:ind w:firstLine="480"/>
              <w:jc w:val="center"/>
              <w:rPr>
                <w:rFonts w:hint="eastAsia" w:ascii="宋体" w:hAnsi="宋体" w:eastAsia="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74726FE6">
            <w:pPr>
              <w:widowControl/>
              <w:shd w:val="clear" w:color="auto" w:fill="auto"/>
              <w:ind w:firstLine="480"/>
              <w:jc w:val="center"/>
              <w:rPr>
                <w:rFonts w:hint="eastAsia" w:ascii="宋体" w:hAnsi="宋体" w:eastAsia="宋体" w:cs="宋体"/>
                <w:color w:val="auto"/>
                <w:kern w:val="0"/>
                <w:sz w:val="18"/>
                <w:szCs w:val="18"/>
                <w:highlight w:val="none"/>
              </w:rPr>
            </w:pPr>
          </w:p>
        </w:tc>
        <w:tc>
          <w:tcPr>
            <w:tcW w:w="795" w:type="dxa"/>
            <w:tcBorders>
              <w:top w:val="nil"/>
              <w:left w:val="nil"/>
              <w:bottom w:val="single" w:color="auto" w:sz="4" w:space="0"/>
              <w:right w:val="single" w:color="auto" w:sz="4" w:space="0"/>
            </w:tcBorders>
            <w:noWrap w:val="0"/>
            <w:vAlign w:val="center"/>
          </w:tcPr>
          <w:p w14:paraId="33BB783B">
            <w:pPr>
              <w:widowControl/>
              <w:shd w:val="clear" w:color="auto" w:fill="auto"/>
              <w:ind w:firstLine="480"/>
              <w:jc w:val="center"/>
              <w:rPr>
                <w:rFonts w:hint="eastAsia" w:ascii="宋体" w:hAnsi="宋体" w:eastAsia="宋体" w:cs="宋体"/>
                <w:color w:val="auto"/>
                <w:kern w:val="0"/>
                <w:sz w:val="18"/>
                <w:szCs w:val="18"/>
                <w:highlight w:val="none"/>
              </w:rPr>
            </w:pPr>
          </w:p>
        </w:tc>
        <w:tc>
          <w:tcPr>
            <w:tcW w:w="1862" w:type="dxa"/>
            <w:tcBorders>
              <w:top w:val="nil"/>
              <w:left w:val="nil"/>
              <w:bottom w:val="single" w:color="auto" w:sz="4" w:space="0"/>
              <w:right w:val="single" w:color="auto" w:sz="4" w:space="0"/>
            </w:tcBorders>
            <w:noWrap w:val="0"/>
            <w:vAlign w:val="center"/>
          </w:tcPr>
          <w:p w14:paraId="47061F96">
            <w:pPr>
              <w:widowControl/>
              <w:shd w:val="clear" w:color="auto" w:fill="auto"/>
              <w:ind w:firstLine="480"/>
              <w:rPr>
                <w:rFonts w:hint="eastAsia" w:ascii="宋体" w:hAnsi="宋体" w:eastAsia="宋体" w:cs="宋体"/>
                <w:color w:val="auto"/>
                <w:kern w:val="0"/>
                <w:sz w:val="18"/>
                <w:szCs w:val="18"/>
                <w:highlight w:val="none"/>
              </w:rPr>
            </w:pPr>
          </w:p>
        </w:tc>
      </w:tr>
      <w:tr w14:paraId="31A4CA6C">
        <w:tblPrEx>
          <w:tblCellMar>
            <w:top w:w="0" w:type="dxa"/>
            <w:left w:w="108" w:type="dxa"/>
            <w:bottom w:w="0" w:type="dxa"/>
            <w:right w:w="108" w:type="dxa"/>
          </w:tblCellMar>
        </w:tblPrEx>
        <w:trPr>
          <w:trHeight w:val="444" w:hRule="atLeast"/>
          <w:jc w:val="center"/>
        </w:trPr>
        <w:tc>
          <w:tcPr>
            <w:tcW w:w="2774" w:type="dxa"/>
            <w:tcBorders>
              <w:top w:val="single" w:color="auto" w:sz="4" w:space="0"/>
              <w:left w:val="single" w:color="auto" w:sz="4" w:space="0"/>
              <w:bottom w:val="single" w:color="auto" w:sz="4" w:space="0"/>
              <w:right w:val="single" w:color="auto" w:sz="4" w:space="0"/>
            </w:tcBorders>
            <w:noWrap w:val="0"/>
            <w:vAlign w:val="center"/>
          </w:tcPr>
          <w:p w14:paraId="3BCC05D5">
            <w:pPr>
              <w:widowControl/>
              <w:shd w:val="clear" w:color="auto" w:fill="auto"/>
              <w:ind w:firstLine="48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防滑垫、提示牌</w:t>
            </w:r>
          </w:p>
        </w:tc>
        <w:tc>
          <w:tcPr>
            <w:tcW w:w="887" w:type="dxa"/>
            <w:tcBorders>
              <w:top w:val="nil"/>
              <w:left w:val="nil"/>
              <w:bottom w:val="single" w:color="auto" w:sz="4" w:space="0"/>
              <w:right w:val="single" w:color="auto" w:sz="4" w:space="0"/>
            </w:tcBorders>
            <w:noWrap w:val="0"/>
            <w:vAlign w:val="center"/>
          </w:tcPr>
          <w:p w14:paraId="4A680C47">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692" w:type="dxa"/>
            <w:tcBorders>
              <w:top w:val="nil"/>
              <w:left w:val="nil"/>
              <w:bottom w:val="single" w:color="auto" w:sz="4" w:space="0"/>
              <w:right w:val="single" w:color="auto" w:sz="4" w:space="0"/>
            </w:tcBorders>
            <w:noWrap w:val="0"/>
            <w:vAlign w:val="center"/>
          </w:tcPr>
          <w:p w14:paraId="7EB76FC0">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09CA6DA0">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20DD7578">
            <w:pPr>
              <w:widowControl/>
              <w:shd w:val="clear" w:color="auto" w:fill="auto"/>
              <w:ind w:firstLine="480"/>
              <w:jc w:val="center"/>
              <w:rPr>
                <w:rFonts w:hint="eastAsia" w:ascii="宋体" w:hAnsi="宋体" w:eastAsia="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24158747">
            <w:pPr>
              <w:widowControl/>
              <w:shd w:val="clear" w:color="auto" w:fill="auto"/>
              <w:ind w:firstLine="480"/>
              <w:jc w:val="center"/>
              <w:rPr>
                <w:rFonts w:hint="eastAsia" w:ascii="宋体" w:hAnsi="宋体" w:eastAsia="宋体" w:cs="宋体"/>
                <w:color w:val="auto"/>
                <w:kern w:val="0"/>
                <w:sz w:val="18"/>
                <w:szCs w:val="18"/>
                <w:highlight w:val="none"/>
              </w:rPr>
            </w:pPr>
          </w:p>
        </w:tc>
        <w:tc>
          <w:tcPr>
            <w:tcW w:w="795" w:type="dxa"/>
            <w:tcBorders>
              <w:top w:val="nil"/>
              <w:left w:val="nil"/>
              <w:bottom w:val="single" w:color="auto" w:sz="4" w:space="0"/>
              <w:right w:val="single" w:color="auto" w:sz="4" w:space="0"/>
            </w:tcBorders>
            <w:noWrap w:val="0"/>
            <w:vAlign w:val="center"/>
          </w:tcPr>
          <w:p w14:paraId="1E474F61">
            <w:pPr>
              <w:widowControl/>
              <w:shd w:val="clear" w:color="auto" w:fill="auto"/>
              <w:ind w:firstLine="480"/>
              <w:jc w:val="center"/>
              <w:rPr>
                <w:rFonts w:hint="eastAsia" w:ascii="宋体" w:hAnsi="宋体" w:eastAsia="宋体" w:cs="宋体"/>
                <w:color w:val="auto"/>
                <w:kern w:val="0"/>
                <w:sz w:val="18"/>
                <w:szCs w:val="18"/>
                <w:highlight w:val="none"/>
              </w:rPr>
            </w:pPr>
          </w:p>
        </w:tc>
        <w:tc>
          <w:tcPr>
            <w:tcW w:w="1862" w:type="dxa"/>
            <w:tcBorders>
              <w:top w:val="nil"/>
              <w:left w:val="nil"/>
              <w:bottom w:val="single" w:color="auto" w:sz="4" w:space="0"/>
              <w:right w:val="single" w:color="auto" w:sz="4" w:space="0"/>
            </w:tcBorders>
            <w:noWrap w:val="0"/>
            <w:vAlign w:val="center"/>
          </w:tcPr>
          <w:p w14:paraId="59939EDA">
            <w:pPr>
              <w:widowControl/>
              <w:shd w:val="clear" w:color="auto" w:fil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每半月清洗1次</w:t>
            </w:r>
          </w:p>
        </w:tc>
      </w:tr>
      <w:tr w14:paraId="2C7BDC6F">
        <w:tblPrEx>
          <w:tblCellMar>
            <w:top w:w="0" w:type="dxa"/>
            <w:left w:w="108" w:type="dxa"/>
            <w:bottom w:w="0" w:type="dxa"/>
            <w:right w:w="108" w:type="dxa"/>
          </w:tblCellMar>
        </w:tblPrEx>
        <w:trPr>
          <w:trHeight w:val="848" w:hRule="atLeast"/>
          <w:jc w:val="center"/>
        </w:trPr>
        <w:tc>
          <w:tcPr>
            <w:tcW w:w="2774" w:type="dxa"/>
            <w:tcBorders>
              <w:top w:val="nil"/>
              <w:left w:val="single" w:color="auto" w:sz="4" w:space="0"/>
              <w:bottom w:val="single" w:color="auto" w:sz="4" w:space="0"/>
              <w:right w:val="single" w:color="auto" w:sz="4" w:space="0"/>
            </w:tcBorders>
            <w:noWrap w:val="0"/>
            <w:vAlign w:val="center"/>
          </w:tcPr>
          <w:p w14:paraId="159E487B">
            <w:pPr>
              <w:widowControl/>
              <w:shd w:val="clear" w:color="auto" w:fill="auto"/>
              <w:ind w:firstLine="48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添加卫生纸，烟灰缸、纸篓按保洁标准更换垃圾袋</w:t>
            </w:r>
          </w:p>
        </w:tc>
        <w:tc>
          <w:tcPr>
            <w:tcW w:w="887" w:type="dxa"/>
            <w:tcBorders>
              <w:top w:val="nil"/>
              <w:left w:val="nil"/>
              <w:bottom w:val="single" w:color="auto" w:sz="4" w:space="0"/>
              <w:right w:val="single" w:color="auto" w:sz="4" w:space="0"/>
            </w:tcBorders>
            <w:noWrap w:val="0"/>
            <w:vAlign w:val="center"/>
          </w:tcPr>
          <w:p w14:paraId="5C63983D">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692" w:type="dxa"/>
            <w:tcBorders>
              <w:top w:val="nil"/>
              <w:left w:val="nil"/>
              <w:bottom w:val="single" w:color="auto" w:sz="4" w:space="0"/>
              <w:right w:val="single" w:color="auto" w:sz="4" w:space="0"/>
            </w:tcBorders>
            <w:noWrap w:val="0"/>
            <w:vAlign w:val="center"/>
          </w:tcPr>
          <w:p w14:paraId="589AA836">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7C91858F">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3D87D29C">
            <w:pPr>
              <w:widowControl/>
              <w:shd w:val="clear" w:color="auto" w:fill="auto"/>
              <w:ind w:firstLine="480"/>
              <w:jc w:val="center"/>
              <w:rPr>
                <w:rFonts w:hint="eastAsia" w:ascii="宋体" w:hAnsi="宋体" w:eastAsia="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635C0FDB">
            <w:pPr>
              <w:widowControl/>
              <w:shd w:val="clear" w:color="auto" w:fill="auto"/>
              <w:ind w:firstLine="480"/>
              <w:jc w:val="center"/>
              <w:rPr>
                <w:rFonts w:hint="eastAsia" w:ascii="宋体" w:hAnsi="宋体" w:eastAsia="宋体" w:cs="宋体"/>
                <w:color w:val="auto"/>
                <w:kern w:val="0"/>
                <w:sz w:val="18"/>
                <w:szCs w:val="18"/>
                <w:highlight w:val="none"/>
              </w:rPr>
            </w:pPr>
          </w:p>
        </w:tc>
        <w:tc>
          <w:tcPr>
            <w:tcW w:w="795" w:type="dxa"/>
            <w:tcBorders>
              <w:top w:val="nil"/>
              <w:left w:val="nil"/>
              <w:bottom w:val="single" w:color="auto" w:sz="4" w:space="0"/>
              <w:right w:val="single" w:color="auto" w:sz="4" w:space="0"/>
            </w:tcBorders>
            <w:noWrap w:val="0"/>
            <w:vAlign w:val="center"/>
          </w:tcPr>
          <w:p w14:paraId="31FC5B55">
            <w:pPr>
              <w:widowControl/>
              <w:shd w:val="clear" w:color="auto" w:fill="auto"/>
              <w:ind w:firstLine="480"/>
              <w:jc w:val="center"/>
              <w:rPr>
                <w:rFonts w:hint="eastAsia" w:ascii="宋体" w:hAnsi="宋体" w:eastAsia="宋体" w:cs="宋体"/>
                <w:color w:val="auto"/>
                <w:kern w:val="0"/>
                <w:sz w:val="18"/>
                <w:szCs w:val="18"/>
                <w:highlight w:val="none"/>
              </w:rPr>
            </w:pPr>
          </w:p>
        </w:tc>
        <w:tc>
          <w:tcPr>
            <w:tcW w:w="1862" w:type="dxa"/>
            <w:tcBorders>
              <w:top w:val="nil"/>
              <w:left w:val="nil"/>
              <w:bottom w:val="single" w:color="auto" w:sz="4" w:space="0"/>
              <w:right w:val="single" w:color="auto" w:sz="4" w:space="0"/>
            </w:tcBorders>
            <w:noWrap w:val="0"/>
            <w:vAlign w:val="center"/>
          </w:tcPr>
          <w:p w14:paraId="4140D777">
            <w:pPr>
              <w:widowControl/>
              <w:shd w:val="clear" w:color="auto" w:fill="auto"/>
              <w:ind w:firstLine="480"/>
              <w:rPr>
                <w:rFonts w:hint="eastAsia" w:ascii="宋体" w:hAnsi="宋体" w:eastAsia="宋体" w:cs="宋体"/>
                <w:color w:val="auto"/>
                <w:kern w:val="0"/>
                <w:sz w:val="18"/>
                <w:szCs w:val="18"/>
                <w:highlight w:val="none"/>
              </w:rPr>
            </w:pPr>
          </w:p>
        </w:tc>
      </w:tr>
      <w:tr w14:paraId="7114480D">
        <w:tblPrEx>
          <w:tblCellMar>
            <w:top w:w="0" w:type="dxa"/>
            <w:left w:w="108" w:type="dxa"/>
            <w:bottom w:w="0" w:type="dxa"/>
            <w:right w:w="108" w:type="dxa"/>
          </w:tblCellMar>
        </w:tblPrEx>
        <w:trPr>
          <w:trHeight w:val="289" w:hRule="atLeast"/>
          <w:jc w:val="center"/>
        </w:trPr>
        <w:tc>
          <w:tcPr>
            <w:tcW w:w="2774" w:type="dxa"/>
            <w:tcBorders>
              <w:top w:val="nil"/>
              <w:left w:val="single" w:color="auto" w:sz="4" w:space="0"/>
              <w:bottom w:val="single" w:color="auto" w:sz="4" w:space="0"/>
              <w:right w:val="single" w:color="auto" w:sz="4" w:space="0"/>
            </w:tcBorders>
            <w:noWrap w:val="0"/>
            <w:vAlign w:val="center"/>
          </w:tcPr>
          <w:p w14:paraId="26F93915">
            <w:pPr>
              <w:widowControl/>
              <w:shd w:val="clear" w:color="auto" w:fill="auto"/>
              <w:ind w:firstLine="48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洗手液、擦手纸</w:t>
            </w:r>
          </w:p>
        </w:tc>
        <w:tc>
          <w:tcPr>
            <w:tcW w:w="887" w:type="dxa"/>
            <w:tcBorders>
              <w:top w:val="nil"/>
              <w:left w:val="nil"/>
              <w:bottom w:val="single" w:color="auto" w:sz="4" w:space="0"/>
              <w:right w:val="single" w:color="auto" w:sz="4" w:space="0"/>
            </w:tcBorders>
            <w:noWrap w:val="0"/>
            <w:vAlign w:val="center"/>
          </w:tcPr>
          <w:p w14:paraId="18708D06">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692" w:type="dxa"/>
            <w:tcBorders>
              <w:top w:val="nil"/>
              <w:left w:val="nil"/>
              <w:bottom w:val="single" w:color="auto" w:sz="4" w:space="0"/>
              <w:right w:val="single" w:color="auto" w:sz="4" w:space="0"/>
            </w:tcBorders>
            <w:noWrap w:val="0"/>
            <w:vAlign w:val="center"/>
          </w:tcPr>
          <w:p w14:paraId="7A3A3987">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2471DF70">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nil"/>
              <w:right w:val="nil"/>
            </w:tcBorders>
            <w:noWrap w:val="0"/>
            <w:vAlign w:val="center"/>
          </w:tcPr>
          <w:p w14:paraId="0CA9B474">
            <w:pPr>
              <w:widowControl/>
              <w:shd w:val="clear" w:color="auto" w:fill="auto"/>
              <w:ind w:firstLine="480"/>
              <w:jc w:val="center"/>
              <w:rPr>
                <w:rFonts w:hint="eastAsia" w:ascii="宋体" w:hAnsi="宋体" w:eastAsia="宋体" w:cs="宋体"/>
                <w:color w:val="auto"/>
                <w:kern w:val="0"/>
                <w:sz w:val="18"/>
                <w:szCs w:val="18"/>
                <w:highlight w:val="none"/>
              </w:rPr>
            </w:pPr>
          </w:p>
        </w:tc>
        <w:tc>
          <w:tcPr>
            <w:tcW w:w="750" w:type="dxa"/>
            <w:tcBorders>
              <w:top w:val="nil"/>
              <w:left w:val="single" w:color="auto" w:sz="4" w:space="0"/>
              <w:bottom w:val="single" w:color="auto" w:sz="4" w:space="0"/>
              <w:right w:val="single" w:color="auto" w:sz="4" w:space="0"/>
            </w:tcBorders>
            <w:noWrap w:val="0"/>
            <w:vAlign w:val="center"/>
          </w:tcPr>
          <w:p w14:paraId="469914DA">
            <w:pPr>
              <w:widowControl/>
              <w:shd w:val="clear" w:color="auto" w:fill="auto"/>
              <w:ind w:firstLine="480"/>
              <w:jc w:val="center"/>
              <w:rPr>
                <w:rFonts w:hint="eastAsia" w:ascii="宋体" w:hAnsi="宋体" w:eastAsia="宋体" w:cs="宋体"/>
                <w:color w:val="auto"/>
                <w:kern w:val="0"/>
                <w:sz w:val="18"/>
                <w:szCs w:val="18"/>
                <w:highlight w:val="none"/>
              </w:rPr>
            </w:pPr>
          </w:p>
        </w:tc>
        <w:tc>
          <w:tcPr>
            <w:tcW w:w="795" w:type="dxa"/>
            <w:tcBorders>
              <w:top w:val="nil"/>
              <w:left w:val="nil"/>
              <w:bottom w:val="single" w:color="auto" w:sz="4" w:space="0"/>
              <w:right w:val="single" w:color="auto" w:sz="4" w:space="0"/>
            </w:tcBorders>
            <w:noWrap w:val="0"/>
            <w:vAlign w:val="center"/>
          </w:tcPr>
          <w:p w14:paraId="74EE0C0A">
            <w:pPr>
              <w:widowControl/>
              <w:shd w:val="clear" w:color="auto" w:fill="auto"/>
              <w:ind w:firstLine="480"/>
              <w:jc w:val="center"/>
              <w:rPr>
                <w:rFonts w:hint="eastAsia" w:ascii="宋体" w:hAnsi="宋体" w:eastAsia="宋体" w:cs="宋体"/>
                <w:color w:val="auto"/>
                <w:kern w:val="0"/>
                <w:sz w:val="18"/>
                <w:szCs w:val="18"/>
                <w:highlight w:val="none"/>
              </w:rPr>
            </w:pPr>
          </w:p>
        </w:tc>
        <w:tc>
          <w:tcPr>
            <w:tcW w:w="1862" w:type="dxa"/>
            <w:tcBorders>
              <w:top w:val="nil"/>
              <w:left w:val="nil"/>
              <w:bottom w:val="single" w:color="auto" w:sz="4" w:space="0"/>
              <w:right w:val="single" w:color="auto" w:sz="4" w:space="0"/>
            </w:tcBorders>
            <w:noWrap w:val="0"/>
            <w:vAlign w:val="center"/>
          </w:tcPr>
          <w:p w14:paraId="446F7D88">
            <w:pPr>
              <w:widowControl/>
              <w:shd w:val="clear" w:color="auto" w:fill="auto"/>
              <w:ind w:firstLine="480"/>
              <w:rPr>
                <w:rFonts w:hint="eastAsia" w:ascii="宋体" w:hAnsi="宋体" w:eastAsia="宋体" w:cs="宋体"/>
                <w:color w:val="auto"/>
                <w:kern w:val="0"/>
                <w:sz w:val="18"/>
                <w:szCs w:val="18"/>
                <w:highlight w:val="none"/>
              </w:rPr>
            </w:pPr>
          </w:p>
        </w:tc>
      </w:tr>
      <w:tr w14:paraId="0785D7F0">
        <w:tblPrEx>
          <w:tblCellMar>
            <w:top w:w="0" w:type="dxa"/>
            <w:left w:w="108" w:type="dxa"/>
            <w:bottom w:w="0" w:type="dxa"/>
            <w:right w:w="108" w:type="dxa"/>
          </w:tblCellMar>
        </w:tblPrEx>
        <w:trPr>
          <w:trHeight w:val="289" w:hRule="atLeast"/>
          <w:jc w:val="center"/>
        </w:trPr>
        <w:tc>
          <w:tcPr>
            <w:tcW w:w="2774" w:type="dxa"/>
            <w:tcBorders>
              <w:top w:val="nil"/>
              <w:left w:val="single" w:color="auto" w:sz="4" w:space="0"/>
              <w:bottom w:val="single" w:color="auto" w:sz="4" w:space="0"/>
              <w:right w:val="single" w:color="auto" w:sz="4" w:space="0"/>
            </w:tcBorders>
            <w:noWrap w:val="0"/>
            <w:vAlign w:val="center"/>
          </w:tcPr>
          <w:p w14:paraId="455EED03">
            <w:pPr>
              <w:widowControl/>
              <w:shd w:val="clear" w:color="auto" w:fill="auto"/>
              <w:ind w:firstLine="48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室内花木</w:t>
            </w:r>
          </w:p>
        </w:tc>
        <w:tc>
          <w:tcPr>
            <w:tcW w:w="887" w:type="dxa"/>
            <w:tcBorders>
              <w:top w:val="nil"/>
              <w:left w:val="nil"/>
              <w:bottom w:val="single" w:color="auto" w:sz="4" w:space="0"/>
              <w:right w:val="single" w:color="auto" w:sz="4" w:space="0"/>
            </w:tcBorders>
            <w:noWrap w:val="0"/>
            <w:vAlign w:val="center"/>
          </w:tcPr>
          <w:p w14:paraId="41F3ECE8">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692" w:type="dxa"/>
            <w:tcBorders>
              <w:top w:val="nil"/>
              <w:left w:val="nil"/>
              <w:bottom w:val="single" w:color="auto" w:sz="4" w:space="0"/>
              <w:right w:val="single" w:color="auto" w:sz="4" w:space="0"/>
            </w:tcBorders>
            <w:noWrap w:val="0"/>
            <w:vAlign w:val="center"/>
          </w:tcPr>
          <w:p w14:paraId="1EAB2063">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80" w:type="dxa"/>
            <w:tcBorders>
              <w:top w:val="nil"/>
              <w:left w:val="nil"/>
              <w:bottom w:val="single" w:color="auto" w:sz="4" w:space="0"/>
              <w:right w:val="single" w:color="auto" w:sz="4" w:space="0"/>
            </w:tcBorders>
            <w:noWrap w:val="0"/>
            <w:vAlign w:val="center"/>
          </w:tcPr>
          <w:p w14:paraId="3F056D22">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single" w:color="auto" w:sz="4" w:space="0"/>
              <w:left w:val="nil"/>
              <w:bottom w:val="single" w:color="auto" w:sz="4" w:space="0"/>
              <w:right w:val="single" w:color="auto" w:sz="4" w:space="0"/>
            </w:tcBorders>
            <w:noWrap w:val="0"/>
            <w:vAlign w:val="center"/>
          </w:tcPr>
          <w:p w14:paraId="62A684AC">
            <w:pPr>
              <w:widowControl/>
              <w:shd w:val="clear" w:color="auto" w:fill="auto"/>
              <w:ind w:firstLine="480"/>
              <w:jc w:val="center"/>
              <w:rPr>
                <w:rFonts w:hint="eastAsia" w:ascii="宋体" w:hAnsi="宋体" w:eastAsia="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73FBEA35">
            <w:pPr>
              <w:widowControl/>
              <w:shd w:val="clear" w:color="auto" w:fill="auto"/>
              <w:ind w:firstLine="480"/>
              <w:jc w:val="center"/>
              <w:rPr>
                <w:rFonts w:hint="eastAsia" w:ascii="宋体" w:hAnsi="宋体" w:eastAsia="宋体" w:cs="宋体"/>
                <w:color w:val="auto"/>
                <w:kern w:val="0"/>
                <w:sz w:val="18"/>
                <w:szCs w:val="18"/>
                <w:highlight w:val="none"/>
              </w:rPr>
            </w:pPr>
          </w:p>
        </w:tc>
        <w:tc>
          <w:tcPr>
            <w:tcW w:w="795" w:type="dxa"/>
            <w:tcBorders>
              <w:top w:val="nil"/>
              <w:left w:val="nil"/>
              <w:bottom w:val="single" w:color="auto" w:sz="4" w:space="0"/>
              <w:right w:val="single" w:color="auto" w:sz="4" w:space="0"/>
            </w:tcBorders>
            <w:noWrap w:val="0"/>
            <w:vAlign w:val="center"/>
          </w:tcPr>
          <w:p w14:paraId="1F16DDE8">
            <w:pPr>
              <w:widowControl/>
              <w:shd w:val="clear" w:color="auto" w:fill="auto"/>
              <w:ind w:firstLine="480"/>
              <w:jc w:val="center"/>
              <w:rPr>
                <w:rFonts w:hint="eastAsia" w:ascii="宋体" w:hAnsi="宋体" w:eastAsia="宋体" w:cs="宋体"/>
                <w:color w:val="auto"/>
                <w:kern w:val="0"/>
                <w:sz w:val="18"/>
                <w:szCs w:val="18"/>
                <w:highlight w:val="none"/>
              </w:rPr>
            </w:pPr>
          </w:p>
        </w:tc>
        <w:tc>
          <w:tcPr>
            <w:tcW w:w="1862" w:type="dxa"/>
            <w:tcBorders>
              <w:top w:val="nil"/>
              <w:left w:val="nil"/>
              <w:bottom w:val="single" w:color="auto" w:sz="4" w:space="0"/>
              <w:right w:val="single" w:color="auto" w:sz="4" w:space="0"/>
            </w:tcBorders>
            <w:noWrap w:val="0"/>
            <w:vAlign w:val="center"/>
          </w:tcPr>
          <w:p w14:paraId="06398314">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25F687CF">
        <w:tblPrEx>
          <w:tblCellMar>
            <w:top w:w="0" w:type="dxa"/>
            <w:left w:w="108" w:type="dxa"/>
            <w:bottom w:w="0" w:type="dxa"/>
            <w:right w:w="108" w:type="dxa"/>
          </w:tblCellMar>
        </w:tblPrEx>
        <w:trPr>
          <w:trHeight w:val="577" w:hRule="atLeast"/>
          <w:jc w:val="center"/>
        </w:trPr>
        <w:tc>
          <w:tcPr>
            <w:tcW w:w="2774" w:type="dxa"/>
            <w:tcBorders>
              <w:top w:val="nil"/>
              <w:left w:val="single" w:color="auto" w:sz="4" w:space="0"/>
              <w:bottom w:val="single" w:color="auto" w:sz="4" w:space="0"/>
              <w:right w:val="single" w:color="auto" w:sz="4" w:space="0"/>
            </w:tcBorders>
            <w:noWrap w:val="0"/>
            <w:vAlign w:val="center"/>
          </w:tcPr>
          <w:p w14:paraId="50F5A292">
            <w:pPr>
              <w:widowControl/>
              <w:shd w:val="clear" w:color="auto" w:fill="auto"/>
              <w:ind w:firstLine="48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清扫地面垃圾</w:t>
            </w:r>
          </w:p>
        </w:tc>
        <w:tc>
          <w:tcPr>
            <w:tcW w:w="887" w:type="dxa"/>
            <w:tcBorders>
              <w:top w:val="nil"/>
              <w:left w:val="nil"/>
              <w:bottom w:val="single" w:color="auto" w:sz="4" w:space="0"/>
              <w:right w:val="single" w:color="auto" w:sz="4" w:space="0"/>
            </w:tcBorders>
            <w:noWrap w:val="0"/>
            <w:vAlign w:val="center"/>
          </w:tcPr>
          <w:p w14:paraId="32931B25">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692" w:type="dxa"/>
            <w:tcBorders>
              <w:top w:val="nil"/>
              <w:left w:val="nil"/>
              <w:bottom w:val="single" w:color="auto" w:sz="4" w:space="0"/>
              <w:right w:val="single" w:color="auto" w:sz="4" w:space="0"/>
            </w:tcBorders>
            <w:noWrap w:val="0"/>
            <w:vAlign w:val="center"/>
          </w:tcPr>
          <w:p w14:paraId="28E12A4E">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56545D4D">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6C2F635F">
            <w:pPr>
              <w:widowControl/>
              <w:shd w:val="clear" w:color="auto" w:fill="auto"/>
              <w:ind w:firstLine="480"/>
              <w:jc w:val="center"/>
              <w:rPr>
                <w:rFonts w:hint="eastAsia" w:ascii="宋体" w:hAnsi="宋体" w:eastAsia="宋体" w:cs="宋体"/>
                <w:color w:val="auto"/>
                <w:kern w:val="0"/>
                <w:sz w:val="18"/>
                <w:szCs w:val="18"/>
                <w:highlight w:val="none"/>
              </w:rPr>
            </w:pPr>
          </w:p>
        </w:tc>
        <w:tc>
          <w:tcPr>
            <w:tcW w:w="750" w:type="dxa"/>
            <w:tcBorders>
              <w:top w:val="nil"/>
              <w:left w:val="nil"/>
              <w:bottom w:val="single" w:color="auto" w:sz="4" w:space="0"/>
              <w:right w:val="single" w:color="auto" w:sz="4" w:space="0"/>
            </w:tcBorders>
            <w:noWrap w:val="0"/>
            <w:vAlign w:val="center"/>
          </w:tcPr>
          <w:p w14:paraId="721D11D8">
            <w:pPr>
              <w:widowControl/>
              <w:shd w:val="clear" w:color="auto" w:fill="auto"/>
              <w:ind w:firstLine="480"/>
              <w:jc w:val="center"/>
              <w:rPr>
                <w:rFonts w:hint="eastAsia" w:ascii="宋体" w:hAnsi="宋体" w:eastAsia="宋体" w:cs="宋体"/>
                <w:color w:val="auto"/>
                <w:kern w:val="0"/>
                <w:sz w:val="18"/>
                <w:szCs w:val="18"/>
                <w:highlight w:val="none"/>
              </w:rPr>
            </w:pPr>
          </w:p>
        </w:tc>
        <w:tc>
          <w:tcPr>
            <w:tcW w:w="795" w:type="dxa"/>
            <w:tcBorders>
              <w:top w:val="nil"/>
              <w:left w:val="nil"/>
              <w:bottom w:val="single" w:color="auto" w:sz="4" w:space="0"/>
              <w:right w:val="single" w:color="auto" w:sz="4" w:space="0"/>
            </w:tcBorders>
            <w:noWrap w:val="0"/>
            <w:vAlign w:val="center"/>
          </w:tcPr>
          <w:p w14:paraId="1C0DE1BC">
            <w:pPr>
              <w:widowControl/>
              <w:shd w:val="clear" w:color="auto" w:fill="auto"/>
              <w:ind w:firstLine="480"/>
              <w:jc w:val="center"/>
              <w:rPr>
                <w:rFonts w:hint="eastAsia" w:ascii="宋体" w:hAnsi="宋体" w:eastAsia="宋体" w:cs="宋体"/>
                <w:color w:val="auto"/>
                <w:kern w:val="0"/>
                <w:sz w:val="18"/>
                <w:szCs w:val="18"/>
                <w:highlight w:val="none"/>
              </w:rPr>
            </w:pPr>
          </w:p>
        </w:tc>
        <w:tc>
          <w:tcPr>
            <w:tcW w:w="1862" w:type="dxa"/>
            <w:tcBorders>
              <w:top w:val="nil"/>
              <w:left w:val="nil"/>
              <w:bottom w:val="single" w:color="auto" w:sz="4" w:space="0"/>
              <w:right w:val="single" w:color="auto" w:sz="4" w:space="0"/>
            </w:tcBorders>
            <w:noWrap w:val="0"/>
            <w:vAlign w:val="center"/>
          </w:tcPr>
          <w:p w14:paraId="4D8AED10">
            <w:pPr>
              <w:widowControl/>
              <w:shd w:val="clear" w:color="auto" w:fil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每天拖洗、去污1次</w:t>
            </w:r>
          </w:p>
        </w:tc>
      </w:tr>
    </w:tbl>
    <w:p w14:paraId="4E6C60A8">
      <w:pPr>
        <w:shd w:val="clear" w:color="auto" w:fill="auto"/>
        <w:spacing w:line="240" w:lineRule="auto"/>
        <w:ind w:firstLine="411" w:firstLineChars="19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二、停车场保洁</w:t>
      </w:r>
    </w:p>
    <w:p w14:paraId="26BAD77E">
      <w:pPr>
        <w:shd w:val="clear" w:color="auto" w:fill="auto"/>
        <w:spacing w:line="24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1、工作内容</w:t>
      </w:r>
    </w:p>
    <w:p w14:paraId="7471E931">
      <w:pPr>
        <w:shd w:val="clear" w:color="auto" w:fill="auto"/>
        <w:spacing w:line="24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天随时清扫停车场的细小垃圾，每天随时清扫绿化带，每天随时拣绿化带内的烟头杂物等，秋冬季或落叶较多季节增加清洁次数。窨井、边沟内垃圾清理。擦拭广场告示牌、宣传广告栏。收集垃圾，换垃圾袋，清洁垃圾桶，冲洗垃圾房。</w:t>
      </w:r>
    </w:p>
    <w:p w14:paraId="3438A213">
      <w:pPr>
        <w:shd w:val="clear" w:color="auto" w:fill="auto"/>
        <w:spacing w:line="24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2、具体频率：</w:t>
      </w:r>
    </w:p>
    <w:tbl>
      <w:tblPr>
        <w:tblStyle w:val="24"/>
        <w:tblW w:w="9440" w:type="dxa"/>
        <w:jc w:val="center"/>
        <w:tblLayout w:type="fixed"/>
        <w:tblCellMar>
          <w:top w:w="0" w:type="dxa"/>
          <w:left w:w="108" w:type="dxa"/>
          <w:bottom w:w="0" w:type="dxa"/>
          <w:right w:w="108" w:type="dxa"/>
        </w:tblCellMar>
      </w:tblPr>
      <w:tblGrid>
        <w:gridCol w:w="2779"/>
        <w:gridCol w:w="833"/>
        <w:gridCol w:w="864"/>
        <w:gridCol w:w="710"/>
        <w:gridCol w:w="802"/>
        <w:gridCol w:w="801"/>
        <w:gridCol w:w="772"/>
        <w:gridCol w:w="1879"/>
      </w:tblGrid>
      <w:tr w14:paraId="30C65C5F">
        <w:tblPrEx>
          <w:tblCellMar>
            <w:top w:w="0" w:type="dxa"/>
            <w:left w:w="108" w:type="dxa"/>
            <w:bottom w:w="0" w:type="dxa"/>
            <w:right w:w="108" w:type="dxa"/>
          </w:tblCellMar>
        </w:tblPrEx>
        <w:trPr>
          <w:trHeight w:val="299" w:hRule="atLeast"/>
          <w:jc w:val="center"/>
        </w:trPr>
        <w:tc>
          <w:tcPr>
            <w:tcW w:w="2779" w:type="dxa"/>
            <w:vMerge w:val="restart"/>
            <w:tcBorders>
              <w:top w:val="single" w:color="auto" w:sz="4" w:space="0"/>
              <w:left w:val="single" w:color="auto" w:sz="4" w:space="0"/>
              <w:bottom w:val="single" w:color="000000" w:sz="4" w:space="0"/>
              <w:right w:val="single" w:color="auto" w:sz="4" w:space="0"/>
            </w:tcBorders>
            <w:noWrap w:val="0"/>
            <w:vAlign w:val="center"/>
          </w:tcPr>
          <w:p w14:paraId="7EEF9BDC">
            <w:pPr>
              <w:widowControl/>
              <w:shd w:val="clear" w:color="auto" w:fill="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广场保洁</w:t>
            </w:r>
          </w:p>
        </w:tc>
        <w:tc>
          <w:tcPr>
            <w:tcW w:w="4782" w:type="dxa"/>
            <w:gridSpan w:val="6"/>
            <w:tcBorders>
              <w:top w:val="single" w:color="auto" w:sz="4" w:space="0"/>
              <w:left w:val="nil"/>
              <w:bottom w:val="single" w:color="auto" w:sz="4" w:space="0"/>
              <w:right w:val="single" w:color="000000" w:sz="4" w:space="0"/>
            </w:tcBorders>
            <w:noWrap w:val="0"/>
            <w:vAlign w:val="center"/>
          </w:tcPr>
          <w:p w14:paraId="7B462CF6">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879" w:type="dxa"/>
            <w:tcBorders>
              <w:top w:val="single" w:color="auto" w:sz="4" w:space="0"/>
              <w:left w:val="nil"/>
              <w:bottom w:val="single" w:color="auto" w:sz="4" w:space="0"/>
              <w:right w:val="single" w:color="auto" w:sz="4" w:space="0"/>
            </w:tcBorders>
            <w:noWrap w:val="0"/>
            <w:vAlign w:val="center"/>
          </w:tcPr>
          <w:p w14:paraId="29C7C42B">
            <w:pPr>
              <w:widowControl/>
              <w:shd w:val="clear" w:color="auto" w:fill="auto"/>
              <w:ind w:firstLine="48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14:paraId="0F7172A3">
        <w:tblPrEx>
          <w:tblCellMar>
            <w:top w:w="0" w:type="dxa"/>
            <w:left w:w="108" w:type="dxa"/>
            <w:bottom w:w="0" w:type="dxa"/>
            <w:right w:w="108" w:type="dxa"/>
          </w:tblCellMar>
        </w:tblPrEx>
        <w:trPr>
          <w:trHeight w:val="316" w:hRule="atLeast"/>
          <w:jc w:val="center"/>
        </w:trPr>
        <w:tc>
          <w:tcPr>
            <w:tcW w:w="2779" w:type="dxa"/>
            <w:vMerge w:val="continue"/>
            <w:tcBorders>
              <w:top w:val="single" w:color="auto" w:sz="4" w:space="0"/>
              <w:left w:val="single" w:color="auto" w:sz="4" w:space="0"/>
              <w:bottom w:val="single" w:color="000000" w:sz="4" w:space="0"/>
              <w:right w:val="single" w:color="auto" w:sz="4" w:space="0"/>
            </w:tcBorders>
            <w:noWrap w:val="0"/>
            <w:vAlign w:val="center"/>
          </w:tcPr>
          <w:p w14:paraId="496A3BF1">
            <w:pPr>
              <w:widowControl/>
              <w:shd w:val="clear" w:color="auto" w:fill="auto"/>
              <w:ind w:firstLine="480"/>
              <w:jc w:val="left"/>
              <w:rPr>
                <w:rFonts w:hint="eastAsia" w:ascii="宋体" w:hAnsi="宋体" w:eastAsia="宋体" w:cs="宋体"/>
                <w:color w:val="auto"/>
                <w:kern w:val="0"/>
                <w:sz w:val="18"/>
                <w:szCs w:val="18"/>
                <w:highlight w:val="none"/>
              </w:rPr>
            </w:pPr>
          </w:p>
        </w:tc>
        <w:tc>
          <w:tcPr>
            <w:tcW w:w="833" w:type="dxa"/>
            <w:tcBorders>
              <w:top w:val="nil"/>
              <w:left w:val="nil"/>
              <w:bottom w:val="nil"/>
              <w:right w:val="nil"/>
            </w:tcBorders>
            <w:noWrap w:val="0"/>
            <w:vAlign w:val="center"/>
          </w:tcPr>
          <w:p w14:paraId="3DDFECE8">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864" w:type="dxa"/>
            <w:tcBorders>
              <w:top w:val="nil"/>
              <w:left w:val="single" w:color="auto" w:sz="4" w:space="0"/>
              <w:bottom w:val="single" w:color="auto" w:sz="4" w:space="0"/>
              <w:right w:val="single" w:color="auto" w:sz="4" w:space="0"/>
            </w:tcBorders>
            <w:noWrap w:val="0"/>
            <w:vAlign w:val="center"/>
          </w:tcPr>
          <w:p w14:paraId="57FCF8D2">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10" w:type="dxa"/>
            <w:tcBorders>
              <w:top w:val="nil"/>
              <w:left w:val="nil"/>
              <w:bottom w:val="single" w:color="auto" w:sz="4" w:space="0"/>
              <w:right w:val="single" w:color="auto" w:sz="4" w:space="0"/>
            </w:tcBorders>
            <w:noWrap w:val="0"/>
            <w:vAlign w:val="center"/>
          </w:tcPr>
          <w:p w14:paraId="3743DE08">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802" w:type="dxa"/>
            <w:tcBorders>
              <w:top w:val="nil"/>
              <w:left w:val="nil"/>
              <w:bottom w:val="single" w:color="auto" w:sz="4" w:space="0"/>
              <w:right w:val="single" w:color="auto" w:sz="4" w:space="0"/>
            </w:tcBorders>
            <w:noWrap w:val="0"/>
            <w:vAlign w:val="center"/>
          </w:tcPr>
          <w:p w14:paraId="4246A911">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801" w:type="dxa"/>
            <w:tcBorders>
              <w:top w:val="nil"/>
              <w:left w:val="nil"/>
              <w:bottom w:val="single" w:color="auto" w:sz="4" w:space="0"/>
              <w:right w:val="single" w:color="auto" w:sz="4" w:space="0"/>
            </w:tcBorders>
            <w:noWrap w:val="0"/>
            <w:vAlign w:val="center"/>
          </w:tcPr>
          <w:p w14:paraId="01B69E4F">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72" w:type="dxa"/>
            <w:tcBorders>
              <w:top w:val="nil"/>
              <w:left w:val="nil"/>
              <w:bottom w:val="single" w:color="auto" w:sz="4" w:space="0"/>
              <w:right w:val="single" w:color="auto" w:sz="4" w:space="0"/>
            </w:tcBorders>
            <w:noWrap w:val="0"/>
            <w:vAlign w:val="center"/>
          </w:tcPr>
          <w:p w14:paraId="599B208C">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879" w:type="dxa"/>
            <w:tcBorders>
              <w:top w:val="nil"/>
              <w:left w:val="nil"/>
              <w:bottom w:val="single" w:color="auto" w:sz="4" w:space="0"/>
              <w:right w:val="single" w:color="auto" w:sz="4" w:space="0"/>
            </w:tcBorders>
            <w:noWrap w:val="0"/>
            <w:vAlign w:val="center"/>
          </w:tcPr>
          <w:p w14:paraId="687C9F31">
            <w:pPr>
              <w:widowControl/>
              <w:shd w:val="clear" w:color="auto" w:fill="auto"/>
              <w:ind w:firstLine="149" w:firstLineChars="83"/>
              <w:jc w:val="center"/>
              <w:rPr>
                <w:rFonts w:hint="eastAsia" w:ascii="宋体" w:hAnsi="宋体" w:eastAsia="宋体" w:cs="宋体"/>
                <w:color w:val="auto"/>
                <w:kern w:val="0"/>
                <w:sz w:val="18"/>
                <w:szCs w:val="18"/>
                <w:highlight w:val="none"/>
              </w:rPr>
            </w:pPr>
          </w:p>
        </w:tc>
      </w:tr>
      <w:tr w14:paraId="20BFAD15">
        <w:tblPrEx>
          <w:tblCellMar>
            <w:top w:w="0" w:type="dxa"/>
            <w:left w:w="108" w:type="dxa"/>
            <w:bottom w:w="0" w:type="dxa"/>
            <w:right w:w="108" w:type="dxa"/>
          </w:tblCellMar>
        </w:tblPrEx>
        <w:trPr>
          <w:trHeight w:val="299" w:hRule="atLeast"/>
          <w:jc w:val="center"/>
        </w:trPr>
        <w:tc>
          <w:tcPr>
            <w:tcW w:w="2779" w:type="dxa"/>
            <w:tcBorders>
              <w:top w:val="nil"/>
              <w:left w:val="single" w:color="auto" w:sz="4" w:space="0"/>
              <w:bottom w:val="single" w:color="auto" w:sz="4" w:space="0"/>
              <w:right w:val="single" w:color="auto" w:sz="4" w:space="0"/>
            </w:tcBorders>
            <w:noWrap w:val="0"/>
            <w:vAlign w:val="center"/>
          </w:tcPr>
          <w:p w14:paraId="5581B908">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边沟</w:t>
            </w:r>
          </w:p>
        </w:tc>
        <w:tc>
          <w:tcPr>
            <w:tcW w:w="833" w:type="dxa"/>
            <w:tcBorders>
              <w:top w:val="single" w:color="auto" w:sz="4" w:space="0"/>
              <w:left w:val="nil"/>
              <w:bottom w:val="single" w:color="auto" w:sz="4" w:space="0"/>
              <w:right w:val="single" w:color="auto" w:sz="4" w:space="0"/>
            </w:tcBorders>
            <w:noWrap w:val="0"/>
            <w:vAlign w:val="center"/>
          </w:tcPr>
          <w:p w14:paraId="40F3F1A1">
            <w:pPr>
              <w:widowControl/>
              <w:shd w:val="clear" w:color="auto" w:fill="auto"/>
              <w:ind w:firstLine="149" w:firstLineChars="83"/>
              <w:rPr>
                <w:rFonts w:hint="eastAsia" w:ascii="宋体" w:hAnsi="宋体" w:eastAsia="宋体" w:cs="宋体"/>
                <w:color w:val="auto"/>
                <w:kern w:val="0"/>
                <w:sz w:val="18"/>
                <w:szCs w:val="18"/>
                <w:highlight w:val="none"/>
              </w:rPr>
            </w:pPr>
          </w:p>
        </w:tc>
        <w:tc>
          <w:tcPr>
            <w:tcW w:w="864" w:type="dxa"/>
            <w:tcBorders>
              <w:top w:val="nil"/>
              <w:left w:val="nil"/>
              <w:bottom w:val="single" w:color="auto" w:sz="4" w:space="0"/>
              <w:right w:val="single" w:color="auto" w:sz="4" w:space="0"/>
            </w:tcBorders>
            <w:noWrap w:val="0"/>
            <w:vAlign w:val="center"/>
          </w:tcPr>
          <w:p w14:paraId="78AB910B">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10" w:type="dxa"/>
            <w:tcBorders>
              <w:top w:val="nil"/>
              <w:left w:val="nil"/>
              <w:bottom w:val="single" w:color="auto" w:sz="4" w:space="0"/>
              <w:right w:val="single" w:color="auto" w:sz="4" w:space="0"/>
            </w:tcBorders>
            <w:noWrap w:val="0"/>
            <w:vAlign w:val="center"/>
          </w:tcPr>
          <w:p w14:paraId="4B82AB90">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1F2B4197">
            <w:pPr>
              <w:widowControl/>
              <w:shd w:val="clear" w:color="auto" w:fill="auto"/>
              <w:jc w:val="center"/>
              <w:rPr>
                <w:rFonts w:hint="eastAsia" w:ascii="宋体" w:hAnsi="宋体" w:eastAsia="宋体" w:cs="宋体"/>
                <w:color w:val="auto"/>
                <w:kern w:val="0"/>
                <w:sz w:val="18"/>
                <w:szCs w:val="18"/>
                <w:highlight w:val="none"/>
              </w:rPr>
            </w:pPr>
          </w:p>
        </w:tc>
        <w:tc>
          <w:tcPr>
            <w:tcW w:w="801" w:type="dxa"/>
            <w:tcBorders>
              <w:top w:val="nil"/>
              <w:left w:val="nil"/>
              <w:bottom w:val="single" w:color="auto" w:sz="4" w:space="0"/>
              <w:right w:val="single" w:color="auto" w:sz="4" w:space="0"/>
            </w:tcBorders>
            <w:noWrap w:val="0"/>
            <w:vAlign w:val="center"/>
          </w:tcPr>
          <w:p w14:paraId="5A9B9F3F">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540D4D7D">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1E17DD69">
            <w:pPr>
              <w:widowControl/>
              <w:shd w:val="clear" w:color="auto" w:fill="auto"/>
              <w:ind w:firstLine="149" w:firstLineChars="83"/>
              <w:jc w:val="left"/>
              <w:rPr>
                <w:rFonts w:hint="eastAsia" w:ascii="宋体" w:hAnsi="宋体" w:eastAsia="宋体" w:cs="宋体"/>
                <w:color w:val="auto"/>
                <w:kern w:val="0"/>
                <w:sz w:val="18"/>
                <w:szCs w:val="18"/>
                <w:highlight w:val="none"/>
              </w:rPr>
            </w:pPr>
          </w:p>
        </w:tc>
      </w:tr>
      <w:tr w14:paraId="5485ACFE">
        <w:tblPrEx>
          <w:tblCellMar>
            <w:top w:w="0" w:type="dxa"/>
            <w:left w:w="108" w:type="dxa"/>
            <w:bottom w:w="0" w:type="dxa"/>
            <w:right w:w="108" w:type="dxa"/>
          </w:tblCellMar>
        </w:tblPrEx>
        <w:trPr>
          <w:trHeight w:val="299" w:hRule="atLeast"/>
          <w:jc w:val="center"/>
        </w:trPr>
        <w:tc>
          <w:tcPr>
            <w:tcW w:w="2779" w:type="dxa"/>
            <w:tcBorders>
              <w:top w:val="nil"/>
              <w:left w:val="single" w:color="auto" w:sz="4" w:space="0"/>
              <w:bottom w:val="single" w:color="auto" w:sz="4" w:space="0"/>
              <w:right w:val="single" w:color="auto" w:sz="4" w:space="0"/>
            </w:tcBorders>
            <w:noWrap w:val="0"/>
            <w:vAlign w:val="center"/>
          </w:tcPr>
          <w:p w14:paraId="4E9A4FB5">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绿化带</w:t>
            </w:r>
          </w:p>
        </w:tc>
        <w:tc>
          <w:tcPr>
            <w:tcW w:w="833" w:type="dxa"/>
            <w:tcBorders>
              <w:top w:val="nil"/>
              <w:left w:val="nil"/>
              <w:bottom w:val="single" w:color="auto" w:sz="4" w:space="0"/>
              <w:right w:val="single" w:color="auto" w:sz="4" w:space="0"/>
            </w:tcBorders>
            <w:noWrap w:val="0"/>
            <w:vAlign w:val="center"/>
          </w:tcPr>
          <w:p w14:paraId="52A1ED85">
            <w:pPr>
              <w:widowControl/>
              <w:shd w:val="clear" w:color="auto" w:fil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64" w:type="dxa"/>
            <w:tcBorders>
              <w:top w:val="nil"/>
              <w:left w:val="nil"/>
              <w:bottom w:val="single" w:color="auto" w:sz="4" w:space="0"/>
              <w:right w:val="single" w:color="auto" w:sz="4" w:space="0"/>
            </w:tcBorders>
            <w:noWrap w:val="0"/>
            <w:vAlign w:val="center"/>
          </w:tcPr>
          <w:p w14:paraId="5C8707C5">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10" w:type="dxa"/>
            <w:tcBorders>
              <w:top w:val="nil"/>
              <w:left w:val="nil"/>
              <w:bottom w:val="single" w:color="auto" w:sz="4" w:space="0"/>
              <w:right w:val="single" w:color="auto" w:sz="4" w:space="0"/>
            </w:tcBorders>
            <w:noWrap w:val="0"/>
            <w:vAlign w:val="center"/>
          </w:tcPr>
          <w:p w14:paraId="4E815198">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41CB6412">
            <w:pPr>
              <w:widowControl/>
              <w:shd w:val="clear" w:color="auto" w:fill="auto"/>
              <w:jc w:val="center"/>
              <w:rPr>
                <w:rFonts w:hint="eastAsia" w:ascii="宋体" w:hAnsi="宋体" w:eastAsia="宋体" w:cs="宋体"/>
                <w:color w:val="auto"/>
                <w:kern w:val="0"/>
                <w:sz w:val="18"/>
                <w:szCs w:val="18"/>
                <w:highlight w:val="none"/>
              </w:rPr>
            </w:pPr>
          </w:p>
        </w:tc>
        <w:tc>
          <w:tcPr>
            <w:tcW w:w="801" w:type="dxa"/>
            <w:tcBorders>
              <w:top w:val="nil"/>
              <w:left w:val="nil"/>
              <w:bottom w:val="single" w:color="auto" w:sz="4" w:space="0"/>
              <w:right w:val="single" w:color="auto" w:sz="4" w:space="0"/>
            </w:tcBorders>
            <w:noWrap w:val="0"/>
            <w:vAlign w:val="center"/>
          </w:tcPr>
          <w:p w14:paraId="33C2D3BF">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54BBA07A">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01424C92">
            <w:pPr>
              <w:widowControl/>
              <w:shd w:val="clear" w:color="auto" w:fill="auto"/>
              <w:ind w:firstLine="149" w:firstLineChars="83"/>
              <w:jc w:val="left"/>
              <w:rPr>
                <w:rFonts w:hint="eastAsia" w:ascii="宋体" w:hAnsi="宋体" w:eastAsia="宋体" w:cs="宋体"/>
                <w:color w:val="auto"/>
                <w:kern w:val="0"/>
                <w:sz w:val="18"/>
                <w:szCs w:val="18"/>
                <w:highlight w:val="none"/>
              </w:rPr>
            </w:pPr>
          </w:p>
        </w:tc>
      </w:tr>
      <w:tr w14:paraId="43809626">
        <w:tblPrEx>
          <w:tblCellMar>
            <w:top w:w="0" w:type="dxa"/>
            <w:left w:w="108" w:type="dxa"/>
            <w:bottom w:w="0" w:type="dxa"/>
            <w:right w:w="108" w:type="dxa"/>
          </w:tblCellMar>
        </w:tblPrEx>
        <w:trPr>
          <w:trHeight w:val="299" w:hRule="atLeast"/>
          <w:jc w:val="center"/>
        </w:trPr>
        <w:tc>
          <w:tcPr>
            <w:tcW w:w="2779" w:type="dxa"/>
            <w:tcBorders>
              <w:top w:val="nil"/>
              <w:left w:val="single" w:color="auto" w:sz="4" w:space="0"/>
              <w:bottom w:val="single" w:color="auto" w:sz="4" w:space="0"/>
              <w:right w:val="single" w:color="auto" w:sz="4" w:space="0"/>
            </w:tcBorders>
            <w:noWrap w:val="0"/>
            <w:vAlign w:val="center"/>
          </w:tcPr>
          <w:p w14:paraId="1F0E1294">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进出口匝道</w:t>
            </w:r>
          </w:p>
        </w:tc>
        <w:tc>
          <w:tcPr>
            <w:tcW w:w="833" w:type="dxa"/>
            <w:tcBorders>
              <w:top w:val="nil"/>
              <w:left w:val="nil"/>
              <w:bottom w:val="single" w:color="auto" w:sz="4" w:space="0"/>
              <w:right w:val="single" w:color="auto" w:sz="4" w:space="0"/>
            </w:tcBorders>
            <w:noWrap w:val="0"/>
            <w:vAlign w:val="center"/>
          </w:tcPr>
          <w:p w14:paraId="10B0663F">
            <w:pPr>
              <w:widowControl/>
              <w:shd w:val="clear" w:color="auto" w:fil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64" w:type="dxa"/>
            <w:tcBorders>
              <w:top w:val="nil"/>
              <w:left w:val="nil"/>
              <w:bottom w:val="single" w:color="auto" w:sz="4" w:space="0"/>
              <w:right w:val="single" w:color="auto" w:sz="4" w:space="0"/>
            </w:tcBorders>
            <w:noWrap w:val="0"/>
            <w:vAlign w:val="center"/>
          </w:tcPr>
          <w:p w14:paraId="2E678314">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10" w:type="dxa"/>
            <w:tcBorders>
              <w:top w:val="nil"/>
              <w:left w:val="nil"/>
              <w:bottom w:val="single" w:color="auto" w:sz="4" w:space="0"/>
              <w:right w:val="single" w:color="auto" w:sz="4" w:space="0"/>
            </w:tcBorders>
            <w:noWrap w:val="0"/>
            <w:vAlign w:val="center"/>
          </w:tcPr>
          <w:p w14:paraId="5E3FF05B">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62B46174">
            <w:pPr>
              <w:widowControl/>
              <w:shd w:val="clear" w:color="auto" w:fill="auto"/>
              <w:jc w:val="center"/>
              <w:rPr>
                <w:rFonts w:hint="eastAsia" w:ascii="宋体" w:hAnsi="宋体" w:eastAsia="宋体" w:cs="宋体"/>
                <w:color w:val="auto"/>
                <w:kern w:val="0"/>
                <w:sz w:val="18"/>
                <w:szCs w:val="18"/>
                <w:highlight w:val="none"/>
              </w:rPr>
            </w:pPr>
          </w:p>
        </w:tc>
        <w:tc>
          <w:tcPr>
            <w:tcW w:w="801" w:type="dxa"/>
            <w:tcBorders>
              <w:top w:val="nil"/>
              <w:left w:val="nil"/>
              <w:bottom w:val="single" w:color="auto" w:sz="4" w:space="0"/>
              <w:right w:val="single" w:color="auto" w:sz="4" w:space="0"/>
            </w:tcBorders>
            <w:noWrap w:val="0"/>
            <w:vAlign w:val="center"/>
          </w:tcPr>
          <w:p w14:paraId="21945987">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47D09D55">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0F67F6A2">
            <w:pPr>
              <w:widowControl/>
              <w:shd w:val="clear" w:color="auto" w:fill="auto"/>
              <w:ind w:firstLine="149" w:firstLineChars="83"/>
              <w:jc w:val="left"/>
              <w:rPr>
                <w:rFonts w:hint="eastAsia" w:ascii="宋体" w:hAnsi="宋体" w:eastAsia="宋体" w:cs="宋体"/>
                <w:color w:val="auto"/>
                <w:kern w:val="0"/>
                <w:sz w:val="18"/>
                <w:szCs w:val="18"/>
                <w:highlight w:val="none"/>
              </w:rPr>
            </w:pPr>
          </w:p>
        </w:tc>
      </w:tr>
      <w:tr w14:paraId="6AED9B3C">
        <w:tblPrEx>
          <w:tblCellMar>
            <w:top w:w="0" w:type="dxa"/>
            <w:left w:w="108" w:type="dxa"/>
            <w:bottom w:w="0" w:type="dxa"/>
            <w:right w:w="108" w:type="dxa"/>
          </w:tblCellMar>
        </w:tblPrEx>
        <w:trPr>
          <w:trHeight w:val="299" w:hRule="atLeast"/>
          <w:jc w:val="center"/>
        </w:trPr>
        <w:tc>
          <w:tcPr>
            <w:tcW w:w="2779" w:type="dxa"/>
            <w:tcBorders>
              <w:top w:val="nil"/>
              <w:left w:val="single" w:color="auto" w:sz="4" w:space="0"/>
              <w:bottom w:val="single" w:color="auto" w:sz="4" w:space="0"/>
              <w:right w:val="single" w:color="auto" w:sz="4" w:space="0"/>
            </w:tcBorders>
            <w:noWrap w:val="0"/>
            <w:vAlign w:val="center"/>
          </w:tcPr>
          <w:p w14:paraId="6D661C1F">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清理廊檐边杂草</w:t>
            </w:r>
          </w:p>
        </w:tc>
        <w:tc>
          <w:tcPr>
            <w:tcW w:w="833" w:type="dxa"/>
            <w:tcBorders>
              <w:top w:val="nil"/>
              <w:left w:val="nil"/>
              <w:bottom w:val="single" w:color="auto" w:sz="4" w:space="0"/>
              <w:right w:val="single" w:color="auto" w:sz="4" w:space="0"/>
            </w:tcBorders>
            <w:noWrap w:val="0"/>
            <w:vAlign w:val="center"/>
          </w:tcPr>
          <w:p w14:paraId="3AC5E726">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64" w:type="dxa"/>
            <w:tcBorders>
              <w:top w:val="nil"/>
              <w:left w:val="nil"/>
              <w:bottom w:val="single" w:color="auto" w:sz="4" w:space="0"/>
              <w:right w:val="single" w:color="auto" w:sz="4" w:space="0"/>
            </w:tcBorders>
            <w:noWrap w:val="0"/>
            <w:vAlign w:val="center"/>
          </w:tcPr>
          <w:p w14:paraId="36E60EC8">
            <w:pPr>
              <w:widowControl/>
              <w:shd w:val="clear" w:color="auto" w:fill="auto"/>
              <w:jc w:val="center"/>
              <w:rPr>
                <w:rFonts w:hint="eastAsia" w:ascii="宋体" w:hAnsi="宋体" w:eastAsia="宋体" w:cs="宋体"/>
                <w:color w:val="auto"/>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14:paraId="12F15ED8">
            <w:pPr>
              <w:widowControl/>
              <w:shd w:val="clear" w:color="auto" w:fill="auto"/>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31C92F9C">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01" w:type="dxa"/>
            <w:tcBorders>
              <w:top w:val="nil"/>
              <w:left w:val="nil"/>
              <w:bottom w:val="single" w:color="auto" w:sz="4" w:space="0"/>
              <w:right w:val="single" w:color="auto" w:sz="4" w:space="0"/>
            </w:tcBorders>
            <w:noWrap w:val="0"/>
            <w:vAlign w:val="center"/>
          </w:tcPr>
          <w:p w14:paraId="277ADECC">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3B29BDF8">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5B525C9B">
            <w:pPr>
              <w:widowControl/>
              <w:shd w:val="clear" w:color="auto" w:fill="auto"/>
              <w:ind w:firstLine="149" w:firstLineChars="83"/>
              <w:jc w:val="left"/>
              <w:rPr>
                <w:rFonts w:hint="eastAsia" w:ascii="宋体" w:hAnsi="宋体" w:eastAsia="宋体" w:cs="宋体"/>
                <w:color w:val="auto"/>
                <w:kern w:val="0"/>
                <w:sz w:val="18"/>
                <w:szCs w:val="18"/>
                <w:highlight w:val="none"/>
              </w:rPr>
            </w:pPr>
          </w:p>
        </w:tc>
      </w:tr>
      <w:tr w14:paraId="60F0DC67">
        <w:tblPrEx>
          <w:tblCellMar>
            <w:top w:w="0" w:type="dxa"/>
            <w:left w:w="108" w:type="dxa"/>
            <w:bottom w:w="0" w:type="dxa"/>
            <w:right w:w="108" w:type="dxa"/>
          </w:tblCellMar>
        </w:tblPrEx>
        <w:trPr>
          <w:trHeight w:val="299" w:hRule="atLeast"/>
          <w:jc w:val="center"/>
        </w:trPr>
        <w:tc>
          <w:tcPr>
            <w:tcW w:w="2779" w:type="dxa"/>
            <w:tcBorders>
              <w:top w:val="nil"/>
              <w:left w:val="single" w:color="auto" w:sz="4" w:space="0"/>
              <w:bottom w:val="single" w:color="auto" w:sz="4" w:space="0"/>
              <w:right w:val="single" w:color="auto" w:sz="4" w:space="0"/>
            </w:tcBorders>
            <w:noWrap w:val="0"/>
            <w:vAlign w:val="center"/>
          </w:tcPr>
          <w:p w14:paraId="2525C384">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垃圾的收集</w:t>
            </w:r>
          </w:p>
        </w:tc>
        <w:tc>
          <w:tcPr>
            <w:tcW w:w="833" w:type="dxa"/>
            <w:tcBorders>
              <w:top w:val="nil"/>
              <w:left w:val="nil"/>
              <w:bottom w:val="single" w:color="auto" w:sz="4" w:space="0"/>
              <w:right w:val="single" w:color="auto" w:sz="4" w:space="0"/>
            </w:tcBorders>
            <w:noWrap w:val="0"/>
            <w:vAlign w:val="center"/>
          </w:tcPr>
          <w:p w14:paraId="7779B01F">
            <w:pPr>
              <w:widowControl/>
              <w:shd w:val="clear" w:color="auto" w:fill="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64" w:type="dxa"/>
            <w:tcBorders>
              <w:top w:val="nil"/>
              <w:left w:val="nil"/>
              <w:bottom w:val="single" w:color="auto" w:sz="4" w:space="0"/>
              <w:right w:val="single" w:color="auto" w:sz="4" w:space="0"/>
            </w:tcBorders>
            <w:noWrap w:val="0"/>
            <w:vAlign w:val="center"/>
          </w:tcPr>
          <w:p w14:paraId="6D740C24">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10" w:type="dxa"/>
            <w:tcBorders>
              <w:top w:val="nil"/>
              <w:left w:val="nil"/>
              <w:bottom w:val="single" w:color="auto" w:sz="4" w:space="0"/>
              <w:right w:val="single" w:color="auto" w:sz="4" w:space="0"/>
            </w:tcBorders>
            <w:noWrap w:val="0"/>
            <w:vAlign w:val="center"/>
          </w:tcPr>
          <w:p w14:paraId="0E4F82A1">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802" w:type="dxa"/>
            <w:tcBorders>
              <w:top w:val="single" w:color="auto" w:sz="4" w:space="0"/>
              <w:left w:val="nil"/>
              <w:bottom w:val="single" w:color="auto" w:sz="4" w:space="0"/>
              <w:right w:val="single" w:color="auto" w:sz="4" w:space="0"/>
            </w:tcBorders>
            <w:noWrap w:val="0"/>
            <w:vAlign w:val="center"/>
          </w:tcPr>
          <w:p w14:paraId="41A75829">
            <w:pPr>
              <w:widowControl/>
              <w:shd w:val="clear" w:color="auto" w:fill="auto"/>
              <w:jc w:val="center"/>
              <w:rPr>
                <w:rFonts w:hint="eastAsia" w:ascii="宋体" w:hAnsi="宋体" w:eastAsia="宋体" w:cs="宋体"/>
                <w:color w:val="auto"/>
                <w:kern w:val="0"/>
                <w:sz w:val="18"/>
                <w:szCs w:val="18"/>
                <w:highlight w:val="none"/>
              </w:rPr>
            </w:pPr>
          </w:p>
        </w:tc>
        <w:tc>
          <w:tcPr>
            <w:tcW w:w="801" w:type="dxa"/>
            <w:tcBorders>
              <w:top w:val="nil"/>
              <w:left w:val="nil"/>
              <w:bottom w:val="single" w:color="auto" w:sz="4" w:space="0"/>
              <w:right w:val="single" w:color="auto" w:sz="4" w:space="0"/>
            </w:tcBorders>
            <w:noWrap w:val="0"/>
            <w:vAlign w:val="center"/>
          </w:tcPr>
          <w:p w14:paraId="2F074475">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6B4356C9">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140020B9">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2DF86C8C">
        <w:tblPrEx>
          <w:tblCellMar>
            <w:top w:w="0" w:type="dxa"/>
            <w:left w:w="108" w:type="dxa"/>
            <w:bottom w:w="0" w:type="dxa"/>
            <w:right w:w="108" w:type="dxa"/>
          </w:tblCellMar>
        </w:tblPrEx>
        <w:trPr>
          <w:trHeight w:val="299" w:hRule="atLeast"/>
          <w:jc w:val="center"/>
        </w:trPr>
        <w:tc>
          <w:tcPr>
            <w:tcW w:w="2779" w:type="dxa"/>
            <w:tcBorders>
              <w:top w:val="nil"/>
              <w:left w:val="single" w:color="auto" w:sz="4" w:space="0"/>
              <w:bottom w:val="single" w:color="auto" w:sz="4" w:space="0"/>
              <w:right w:val="single" w:color="auto" w:sz="4" w:space="0"/>
            </w:tcBorders>
            <w:noWrap w:val="0"/>
            <w:vAlign w:val="center"/>
          </w:tcPr>
          <w:p w14:paraId="1A754AC9">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垃圾桶的清洗</w:t>
            </w:r>
          </w:p>
        </w:tc>
        <w:tc>
          <w:tcPr>
            <w:tcW w:w="833" w:type="dxa"/>
            <w:tcBorders>
              <w:top w:val="nil"/>
              <w:left w:val="nil"/>
              <w:bottom w:val="single" w:color="auto" w:sz="4" w:space="0"/>
              <w:right w:val="single" w:color="auto" w:sz="4" w:space="0"/>
            </w:tcBorders>
            <w:noWrap w:val="0"/>
            <w:vAlign w:val="center"/>
          </w:tcPr>
          <w:p w14:paraId="49CCC884">
            <w:pPr>
              <w:widowControl/>
              <w:shd w:val="clear" w:color="auto" w:fil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64" w:type="dxa"/>
            <w:tcBorders>
              <w:top w:val="nil"/>
              <w:left w:val="nil"/>
              <w:bottom w:val="single" w:color="auto" w:sz="4" w:space="0"/>
              <w:right w:val="single" w:color="auto" w:sz="4" w:space="0"/>
            </w:tcBorders>
            <w:noWrap w:val="0"/>
            <w:vAlign w:val="center"/>
          </w:tcPr>
          <w:p w14:paraId="0E2F8429">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10" w:type="dxa"/>
            <w:tcBorders>
              <w:top w:val="nil"/>
              <w:left w:val="nil"/>
              <w:bottom w:val="single" w:color="auto" w:sz="4" w:space="0"/>
              <w:right w:val="single" w:color="auto" w:sz="4" w:space="0"/>
            </w:tcBorders>
            <w:noWrap w:val="0"/>
            <w:vAlign w:val="center"/>
          </w:tcPr>
          <w:p w14:paraId="791F7D1E">
            <w:pPr>
              <w:widowControl/>
              <w:shd w:val="clear" w:color="auto" w:fill="auto"/>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4281E516">
            <w:pPr>
              <w:widowControl/>
              <w:shd w:val="clear" w:color="auto" w:fill="auto"/>
              <w:jc w:val="center"/>
              <w:rPr>
                <w:rFonts w:hint="eastAsia" w:ascii="宋体" w:hAnsi="宋体" w:eastAsia="宋体" w:cs="宋体"/>
                <w:color w:val="auto"/>
                <w:kern w:val="0"/>
                <w:sz w:val="18"/>
                <w:szCs w:val="18"/>
                <w:highlight w:val="none"/>
              </w:rPr>
            </w:pPr>
          </w:p>
        </w:tc>
        <w:tc>
          <w:tcPr>
            <w:tcW w:w="801" w:type="dxa"/>
            <w:tcBorders>
              <w:top w:val="nil"/>
              <w:left w:val="nil"/>
              <w:bottom w:val="single" w:color="auto" w:sz="4" w:space="0"/>
              <w:right w:val="single" w:color="auto" w:sz="4" w:space="0"/>
            </w:tcBorders>
            <w:noWrap w:val="0"/>
            <w:vAlign w:val="center"/>
          </w:tcPr>
          <w:p w14:paraId="708603F8">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0F2601DD">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24186038">
            <w:pPr>
              <w:widowControl/>
              <w:shd w:val="clear" w:color="auto" w:fill="auto"/>
              <w:ind w:firstLine="149" w:firstLineChars="83"/>
              <w:jc w:val="left"/>
              <w:rPr>
                <w:rFonts w:hint="eastAsia" w:ascii="宋体" w:hAnsi="宋体" w:eastAsia="宋体" w:cs="宋体"/>
                <w:color w:val="auto"/>
                <w:kern w:val="0"/>
                <w:sz w:val="18"/>
                <w:szCs w:val="18"/>
                <w:highlight w:val="none"/>
              </w:rPr>
            </w:pPr>
          </w:p>
        </w:tc>
      </w:tr>
      <w:tr w14:paraId="449E3516">
        <w:tblPrEx>
          <w:tblCellMar>
            <w:top w:w="0" w:type="dxa"/>
            <w:left w:w="108" w:type="dxa"/>
            <w:bottom w:w="0" w:type="dxa"/>
            <w:right w:w="108" w:type="dxa"/>
          </w:tblCellMar>
        </w:tblPrEx>
        <w:trPr>
          <w:trHeight w:val="351" w:hRule="atLeast"/>
          <w:jc w:val="center"/>
        </w:trPr>
        <w:tc>
          <w:tcPr>
            <w:tcW w:w="2779" w:type="dxa"/>
            <w:tcBorders>
              <w:top w:val="nil"/>
              <w:left w:val="single" w:color="auto" w:sz="4" w:space="0"/>
              <w:bottom w:val="single" w:color="auto" w:sz="4" w:space="0"/>
              <w:right w:val="single" w:color="auto" w:sz="4" w:space="0"/>
            </w:tcBorders>
            <w:noWrap w:val="0"/>
            <w:vAlign w:val="center"/>
          </w:tcPr>
          <w:p w14:paraId="7E10FB84">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垃圾房（中转站）的冲洗</w:t>
            </w:r>
          </w:p>
        </w:tc>
        <w:tc>
          <w:tcPr>
            <w:tcW w:w="833" w:type="dxa"/>
            <w:tcBorders>
              <w:top w:val="nil"/>
              <w:left w:val="nil"/>
              <w:bottom w:val="single" w:color="auto" w:sz="4" w:space="0"/>
              <w:right w:val="single" w:color="auto" w:sz="4" w:space="0"/>
            </w:tcBorders>
            <w:noWrap w:val="0"/>
            <w:vAlign w:val="center"/>
          </w:tcPr>
          <w:p w14:paraId="04BBEDE1">
            <w:pPr>
              <w:widowControl/>
              <w:shd w:val="clear" w:color="auto" w:fill="auto"/>
              <w:jc w:val="center"/>
              <w:rPr>
                <w:rFonts w:hint="eastAsia" w:ascii="宋体" w:hAnsi="宋体" w:eastAsia="宋体" w:cs="宋体"/>
                <w:color w:val="auto"/>
                <w:kern w:val="0"/>
                <w:sz w:val="18"/>
                <w:szCs w:val="18"/>
                <w:highlight w:val="none"/>
              </w:rPr>
            </w:pPr>
          </w:p>
        </w:tc>
        <w:tc>
          <w:tcPr>
            <w:tcW w:w="864" w:type="dxa"/>
            <w:tcBorders>
              <w:top w:val="nil"/>
              <w:left w:val="nil"/>
              <w:bottom w:val="single" w:color="auto" w:sz="4" w:space="0"/>
              <w:right w:val="single" w:color="auto" w:sz="4" w:space="0"/>
            </w:tcBorders>
            <w:noWrap w:val="0"/>
            <w:vAlign w:val="center"/>
          </w:tcPr>
          <w:p w14:paraId="5D65DB71">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10" w:type="dxa"/>
            <w:tcBorders>
              <w:top w:val="nil"/>
              <w:left w:val="nil"/>
              <w:bottom w:val="single" w:color="auto" w:sz="4" w:space="0"/>
              <w:right w:val="single" w:color="auto" w:sz="4" w:space="0"/>
            </w:tcBorders>
            <w:noWrap w:val="0"/>
            <w:vAlign w:val="center"/>
          </w:tcPr>
          <w:p w14:paraId="511CC6B5">
            <w:pPr>
              <w:widowControl/>
              <w:shd w:val="clear" w:color="auto" w:fill="auto"/>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258FF0DA">
            <w:pPr>
              <w:widowControl/>
              <w:shd w:val="clear" w:color="auto" w:fill="auto"/>
              <w:jc w:val="center"/>
              <w:rPr>
                <w:rFonts w:hint="eastAsia" w:ascii="宋体" w:hAnsi="宋体" w:eastAsia="宋体" w:cs="宋体"/>
                <w:color w:val="auto"/>
                <w:kern w:val="0"/>
                <w:sz w:val="18"/>
                <w:szCs w:val="18"/>
                <w:highlight w:val="none"/>
              </w:rPr>
            </w:pPr>
          </w:p>
        </w:tc>
        <w:tc>
          <w:tcPr>
            <w:tcW w:w="801" w:type="dxa"/>
            <w:tcBorders>
              <w:top w:val="nil"/>
              <w:left w:val="nil"/>
              <w:bottom w:val="single" w:color="auto" w:sz="4" w:space="0"/>
              <w:right w:val="single" w:color="auto" w:sz="4" w:space="0"/>
            </w:tcBorders>
            <w:noWrap w:val="0"/>
            <w:vAlign w:val="center"/>
          </w:tcPr>
          <w:p w14:paraId="6332BB3E">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7AC9CA4C">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0A928140">
            <w:pPr>
              <w:widowControl/>
              <w:shd w:val="clear" w:color="auto" w:fill="auto"/>
              <w:jc w:val="left"/>
              <w:rPr>
                <w:rFonts w:hint="eastAsia" w:ascii="宋体" w:hAnsi="宋体" w:eastAsia="宋体" w:cs="宋体"/>
                <w:color w:val="auto"/>
                <w:kern w:val="0"/>
                <w:sz w:val="18"/>
                <w:szCs w:val="18"/>
                <w:highlight w:val="none"/>
              </w:rPr>
            </w:pPr>
          </w:p>
        </w:tc>
      </w:tr>
      <w:tr w14:paraId="047CF56A">
        <w:tblPrEx>
          <w:tblCellMar>
            <w:top w:w="0" w:type="dxa"/>
            <w:left w:w="108" w:type="dxa"/>
            <w:bottom w:w="0" w:type="dxa"/>
            <w:right w:w="108" w:type="dxa"/>
          </w:tblCellMar>
        </w:tblPrEx>
        <w:trPr>
          <w:trHeight w:val="351" w:hRule="atLeast"/>
          <w:jc w:val="center"/>
        </w:trPr>
        <w:tc>
          <w:tcPr>
            <w:tcW w:w="2779" w:type="dxa"/>
            <w:tcBorders>
              <w:top w:val="nil"/>
              <w:left w:val="single" w:color="auto" w:sz="4" w:space="0"/>
              <w:bottom w:val="single" w:color="auto" w:sz="4" w:space="0"/>
              <w:right w:val="single" w:color="auto" w:sz="4" w:space="0"/>
            </w:tcBorders>
            <w:noWrap w:val="0"/>
            <w:vAlign w:val="center"/>
          </w:tcPr>
          <w:p w14:paraId="415FAB96">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外场地面（含台阶、花台等）</w:t>
            </w:r>
          </w:p>
        </w:tc>
        <w:tc>
          <w:tcPr>
            <w:tcW w:w="833" w:type="dxa"/>
            <w:tcBorders>
              <w:top w:val="nil"/>
              <w:left w:val="nil"/>
              <w:bottom w:val="single" w:color="auto" w:sz="4" w:space="0"/>
              <w:right w:val="single" w:color="auto" w:sz="4" w:space="0"/>
            </w:tcBorders>
            <w:noWrap w:val="0"/>
            <w:vAlign w:val="center"/>
          </w:tcPr>
          <w:p w14:paraId="7EDA7A5D">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64" w:type="dxa"/>
            <w:tcBorders>
              <w:top w:val="nil"/>
              <w:left w:val="nil"/>
              <w:bottom w:val="single" w:color="auto" w:sz="4" w:space="0"/>
              <w:right w:val="single" w:color="auto" w:sz="4" w:space="0"/>
            </w:tcBorders>
            <w:noWrap w:val="0"/>
            <w:vAlign w:val="center"/>
          </w:tcPr>
          <w:p w14:paraId="237CDD42">
            <w:pPr>
              <w:widowControl/>
              <w:shd w:val="clear" w:color="auto" w:fill="auto"/>
              <w:jc w:val="center"/>
              <w:rPr>
                <w:rFonts w:hint="eastAsia" w:ascii="宋体" w:hAnsi="宋体" w:eastAsia="宋体" w:cs="宋体"/>
                <w:color w:val="auto"/>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14:paraId="01DE1618">
            <w:pPr>
              <w:widowControl/>
              <w:shd w:val="clear" w:color="auto" w:fill="auto"/>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6318A61B">
            <w:pPr>
              <w:widowControl/>
              <w:shd w:val="clear" w:color="auto" w:fill="auto"/>
              <w:jc w:val="center"/>
              <w:rPr>
                <w:rFonts w:hint="eastAsia" w:ascii="宋体" w:hAnsi="宋体" w:eastAsia="宋体" w:cs="宋体"/>
                <w:color w:val="auto"/>
                <w:kern w:val="0"/>
                <w:sz w:val="18"/>
                <w:szCs w:val="18"/>
                <w:highlight w:val="none"/>
              </w:rPr>
            </w:pPr>
          </w:p>
        </w:tc>
        <w:tc>
          <w:tcPr>
            <w:tcW w:w="801" w:type="dxa"/>
            <w:tcBorders>
              <w:top w:val="nil"/>
              <w:left w:val="nil"/>
              <w:bottom w:val="single" w:color="auto" w:sz="4" w:space="0"/>
              <w:right w:val="single" w:color="auto" w:sz="4" w:space="0"/>
            </w:tcBorders>
            <w:noWrap w:val="0"/>
            <w:vAlign w:val="center"/>
          </w:tcPr>
          <w:p w14:paraId="5C3E4565">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4E1206D5">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25B125FB">
            <w:pPr>
              <w:widowControl/>
              <w:shd w:val="clear" w:color="auto" w:fill="auto"/>
              <w:jc w:val="left"/>
              <w:rPr>
                <w:rFonts w:hint="eastAsia" w:ascii="宋体" w:hAnsi="宋体" w:eastAsia="宋体" w:cs="宋体"/>
                <w:color w:val="auto"/>
                <w:kern w:val="0"/>
                <w:sz w:val="18"/>
                <w:szCs w:val="18"/>
                <w:highlight w:val="none"/>
              </w:rPr>
            </w:pPr>
          </w:p>
        </w:tc>
      </w:tr>
      <w:tr w14:paraId="026AE71F">
        <w:tblPrEx>
          <w:tblCellMar>
            <w:top w:w="0" w:type="dxa"/>
            <w:left w:w="108" w:type="dxa"/>
            <w:bottom w:w="0" w:type="dxa"/>
            <w:right w:w="108" w:type="dxa"/>
          </w:tblCellMar>
        </w:tblPrEx>
        <w:trPr>
          <w:trHeight w:val="314" w:hRule="atLeast"/>
          <w:jc w:val="center"/>
        </w:trPr>
        <w:tc>
          <w:tcPr>
            <w:tcW w:w="2779" w:type="dxa"/>
            <w:tcBorders>
              <w:top w:val="nil"/>
              <w:left w:val="single" w:color="auto" w:sz="4" w:space="0"/>
              <w:bottom w:val="single" w:color="auto" w:sz="4" w:space="0"/>
              <w:right w:val="single" w:color="auto" w:sz="4" w:space="0"/>
            </w:tcBorders>
            <w:noWrap w:val="0"/>
            <w:vAlign w:val="center"/>
          </w:tcPr>
          <w:p w14:paraId="3B12A875">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路沿石</w:t>
            </w:r>
          </w:p>
        </w:tc>
        <w:tc>
          <w:tcPr>
            <w:tcW w:w="833" w:type="dxa"/>
            <w:tcBorders>
              <w:top w:val="nil"/>
              <w:left w:val="nil"/>
              <w:bottom w:val="single" w:color="auto" w:sz="4" w:space="0"/>
              <w:right w:val="single" w:color="auto" w:sz="4" w:space="0"/>
            </w:tcBorders>
            <w:noWrap w:val="0"/>
            <w:vAlign w:val="center"/>
          </w:tcPr>
          <w:p w14:paraId="4B697BFE">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64" w:type="dxa"/>
            <w:tcBorders>
              <w:top w:val="nil"/>
              <w:left w:val="nil"/>
              <w:bottom w:val="single" w:color="auto" w:sz="4" w:space="0"/>
              <w:right w:val="single" w:color="auto" w:sz="4" w:space="0"/>
            </w:tcBorders>
            <w:noWrap w:val="0"/>
            <w:vAlign w:val="center"/>
          </w:tcPr>
          <w:p w14:paraId="03A1116D">
            <w:pPr>
              <w:widowControl/>
              <w:shd w:val="clear" w:color="auto" w:fill="auto"/>
              <w:jc w:val="center"/>
              <w:rPr>
                <w:rFonts w:hint="eastAsia" w:ascii="宋体" w:hAnsi="宋体" w:eastAsia="宋体" w:cs="宋体"/>
                <w:color w:val="auto"/>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14:paraId="58781226">
            <w:pPr>
              <w:widowControl/>
              <w:shd w:val="clear" w:color="auto" w:fill="auto"/>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24FB1FD6">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01" w:type="dxa"/>
            <w:tcBorders>
              <w:top w:val="nil"/>
              <w:left w:val="nil"/>
              <w:bottom w:val="single" w:color="auto" w:sz="4" w:space="0"/>
              <w:right w:val="single" w:color="auto" w:sz="4" w:space="0"/>
            </w:tcBorders>
            <w:noWrap w:val="0"/>
            <w:vAlign w:val="center"/>
          </w:tcPr>
          <w:p w14:paraId="2B3DE5CB">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5B441D14">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121597FD">
            <w:pPr>
              <w:widowControl/>
              <w:shd w:val="clear" w:color="auto" w:fill="auto"/>
              <w:jc w:val="left"/>
              <w:rPr>
                <w:rFonts w:hint="eastAsia" w:ascii="宋体" w:hAnsi="宋体" w:eastAsia="宋体" w:cs="宋体"/>
                <w:color w:val="auto"/>
                <w:kern w:val="0"/>
                <w:sz w:val="18"/>
                <w:szCs w:val="18"/>
                <w:highlight w:val="none"/>
              </w:rPr>
            </w:pPr>
          </w:p>
        </w:tc>
      </w:tr>
      <w:tr w14:paraId="0E9169DD">
        <w:tblPrEx>
          <w:tblCellMar>
            <w:top w:w="0" w:type="dxa"/>
            <w:left w:w="108" w:type="dxa"/>
            <w:bottom w:w="0" w:type="dxa"/>
            <w:right w:w="108" w:type="dxa"/>
          </w:tblCellMar>
        </w:tblPrEx>
        <w:trPr>
          <w:trHeight w:val="331" w:hRule="atLeast"/>
          <w:jc w:val="center"/>
        </w:trPr>
        <w:tc>
          <w:tcPr>
            <w:tcW w:w="2779" w:type="dxa"/>
            <w:tcBorders>
              <w:top w:val="nil"/>
              <w:left w:val="single" w:color="auto" w:sz="4" w:space="0"/>
              <w:bottom w:val="single" w:color="auto" w:sz="4" w:space="0"/>
              <w:right w:val="single" w:color="auto" w:sz="4" w:space="0"/>
            </w:tcBorders>
            <w:noWrap w:val="0"/>
            <w:vAlign w:val="center"/>
          </w:tcPr>
          <w:p w14:paraId="3F37B3B2">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告示牌</w:t>
            </w:r>
          </w:p>
        </w:tc>
        <w:tc>
          <w:tcPr>
            <w:tcW w:w="833" w:type="dxa"/>
            <w:tcBorders>
              <w:top w:val="nil"/>
              <w:left w:val="nil"/>
              <w:bottom w:val="single" w:color="auto" w:sz="4" w:space="0"/>
              <w:right w:val="single" w:color="auto" w:sz="4" w:space="0"/>
            </w:tcBorders>
            <w:noWrap w:val="0"/>
            <w:vAlign w:val="center"/>
          </w:tcPr>
          <w:p w14:paraId="079DA84F">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864" w:type="dxa"/>
            <w:tcBorders>
              <w:top w:val="nil"/>
              <w:left w:val="nil"/>
              <w:bottom w:val="single" w:color="auto" w:sz="4" w:space="0"/>
              <w:right w:val="single" w:color="auto" w:sz="4" w:space="0"/>
            </w:tcBorders>
            <w:noWrap w:val="0"/>
            <w:vAlign w:val="center"/>
          </w:tcPr>
          <w:p w14:paraId="73946F72">
            <w:pPr>
              <w:widowControl/>
              <w:shd w:val="clear" w:color="auto" w:fill="auto"/>
              <w:jc w:val="center"/>
              <w:rPr>
                <w:rFonts w:hint="eastAsia" w:ascii="宋体" w:hAnsi="宋体" w:eastAsia="宋体" w:cs="宋体"/>
                <w:color w:val="auto"/>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14:paraId="66FD2826">
            <w:pPr>
              <w:widowControl/>
              <w:shd w:val="clear" w:color="auto" w:fill="auto"/>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14437025">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01" w:type="dxa"/>
            <w:tcBorders>
              <w:top w:val="nil"/>
              <w:left w:val="nil"/>
              <w:bottom w:val="single" w:color="auto" w:sz="4" w:space="0"/>
              <w:right w:val="single" w:color="auto" w:sz="4" w:space="0"/>
            </w:tcBorders>
            <w:noWrap w:val="0"/>
            <w:vAlign w:val="center"/>
          </w:tcPr>
          <w:p w14:paraId="5A9779EE">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2277D9AF">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0135B541">
            <w:pPr>
              <w:widowControl/>
              <w:shd w:val="clear" w:color="auto" w:fill="auto"/>
              <w:jc w:val="left"/>
              <w:rPr>
                <w:rFonts w:hint="eastAsia" w:ascii="宋体" w:hAnsi="宋体" w:eastAsia="宋体" w:cs="宋体"/>
                <w:color w:val="auto"/>
                <w:kern w:val="0"/>
                <w:sz w:val="18"/>
                <w:szCs w:val="18"/>
                <w:highlight w:val="none"/>
              </w:rPr>
            </w:pPr>
          </w:p>
        </w:tc>
      </w:tr>
      <w:tr w14:paraId="547C895B">
        <w:tblPrEx>
          <w:tblCellMar>
            <w:top w:w="0" w:type="dxa"/>
            <w:left w:w="108" w:type="dxa"/>
            <w:bottom w:w="0" w:type="dxa"/>
            <w:right w:w="108" w:type="dxa"/>
          </w:tblCellMar>
        </w:tblPrEx>
        <w:trPr>
          <w:trHeight w:val="331" w:hRule="atLeast"/>
          <w:jc w:val="center"/>
        </w:trPr>
        <w:tc>
          <w:tcPr>
            <w:tcW w:w="2779" w:type="dxa"/>
            <w:tcBorders>
              <w:top w:val="nil"/>
              <w:left w:val="single" w:color="auto" w:sz="4" w:space="0"/>
              <w:bottom w:val="single" w:color="auto" w:sz="4" w:space="0"/>
              <w:right w:val="single" w:color="auto" w:sz="4" w:space="0"/>
            </w:tcBorders>
            <w:noWrap w:val="0"/>
            <w:vAlign w:val="center"/>
          </w:tcPr>
          <w:p w14:paraId="6C9E0763">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水马警示桩</w:t>
            </w:r>
          </w:p>
        </w:tc>
        <w:tc>
          <w:tcPr>
            <w:tcW w:w="833" w:type="dxa"/>
            <w:tcBorders>
              <w:top w:val="nil"/>
              <w:left w:val="nil"/>
              <w:bottom w:val="single" w:color="auto" w:sz="4" w:space="0"/>
              <w:right w:val="single" w:color="auto" w:sz="4" w:space="0"/>
            </w:tcBorders>
            <w:noWrap w:val="0"/>
            <w:vAlign w:val="center"/>
          </w:tcPr>
          <w:p w14:paraId="2D4213CF">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864" w:type="dxa"/>
            <w:tcBorders>
              <w:top w:val="nil"/>
              <w:left w:val="nil"/>
              <w:bottom w:val="single" w:color="auto" w:sz="4" w:space="0"/>
              <w:right w:val="single" w:color="auto" w:sz="4" w:space="0"/>
            </w:tcBorders>
            <w:noWrap w:val="0"/>
            <w:vAlign w:val="center"/>
          </w:tcPr>
          <w:p w14:paraId="43DDB6A4">
            <w:pPr>
              <w:widowControl/>
              <w:shd w:val="clear" w:color="auto" w:fill="auto"/>
              <w:jc w:val="center"/>
              <w:rPr>
                <w:rFonts w:hint="eastAsia" w:ascii="宋体" w:hAnsi="宋体" w:eastAsia="宋体" w:cs="宋体"/>
                <w:color w:val="auto"/>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14:paraId="2D3C2911">
            <w:pPr>
              <w:widowControl/>
              <w:shd w:val="clear" w:color="auto" w:fill="auto"/>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046DBDE1">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01" w:type="dxa"/>
            <w:tcBorders>
              <w:top w:val="nil"/>
              <w:left w:val="nil"/>
              <w:bottom w:val="single" w:color="auto" w:sz="4" w:space="0"/>
              <w:right w:val="single" w:color="auto" w:sz="4" w:space="0"/>
            </w:tcBorders>
            <w:noWrap w:val="0"/>
            <w:vAlign w:val="center"/>
          </w:tcPr>
          <w:p w14:paraId="20BE3056">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7FFC6F2C">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10AA926E">
            <w:pPr>
              <w:widowControl/>
              <w:shd w:val="clear" w:color="auto" w:fill="auto"/>
              <w:jc w:val="left"/>
              <w:rPr>
                <w:rFonts w:hint="eastAsia" w:ascii="宋体" w:hAnsi="宋体" w:eastAsia="宋体" w:cs="宋体"/>
                <w:color w:val="auto"/>
                <w:kern w:val="0"/>
                <w:sz w:val="18"/>
                <w:szCs w:val="18"/>
                <w:highlight w:val="none"/>
              </w:rPr>
            </w:pPr>
          </w:p>
        </w:tc>
      </w:tr>
      <w:tr w14:paraId="71910240">
        <w:tblPrEx>
          <w:tblCellMar>
            <w:top w:w="0" w:type="dxa"/>
            <w:left w:w="108" w:type="dxa"/>
            <w:bottom w:w="0" w:type="dxa"/>
            <w:right w:w="108" w:type="dxa"/>
          </w:tblCellMar>
        </w:tblPrEx>
        <w:trPr>
          <w:trHeight w:val="331" w:hRule="atLeast"/>
          <w:jc w:val="center"/>
        </w:trPr>
        <w:tc>
          <w:tcPr>
            <w:tcW w:w="2779" w:type="dxa"/>
            <w:tcBorders>
              <w:top w:val="nil"/>
              <w:left w:val="single" w:color="auto" w:sz="4" w:space="0"/>
              <w:bottom w:val="single" w:color="auto" w:sz="4" w:space="0"/>
              <w:right w:val="single" w:color="auto" w:sz="4" w:space="0"/>
            </w:tcBorders>
            <w:noWrap w:val="0"/>
            <w:vAlign w:val="center"/>
          </w:tcPr>
          <w:p w14:paraId="1DA2F85D">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消防设施</w:t>
            </w:r>
          </w:p>
        </w:tc>
        <w:tc>
          <w:tcPr>
            <w:tcW w:w="833" w:type="dxa"/>
            <w:tcBorders>
              <w:top w:val="nil"/>
              <w:left w:val="nil"/>
              <w:bottom w:val="single" w:color="auto" w:sz="4" w:space="0"/>
              <w:right w:val="single" w:color="auto" w:sz="4" w:space="0"/>
            </w:tcBorders>
            <w:noWrap w:val="0"/>
            <w:vAlign w:val="center"/>
          </w:tcPr>
          <w:p w14:paraId="73A9375B">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864" w:type="dxa"/>
            <w:tcBorders>
              <w:top w:val="nil"/>
              <w:left w:val="nil"/>
              <w:bottom w:val="single" w:color="auto" w:sz="4" w:space="0"/>
              <w:right w:val="single" w:color="auto" w:sz="4" w:space="0"/>
            </w:tcBorders>
            <w:noWrap w:val="0"/>
            <w:vAlign w:val="center"/>
          </w:tcPr>
          <w:p w14:paraId="3FFFB738">
            <w:pPr>
              <w:widowControl/>
              <w:shd w:val="clear" w:color="auto" w:fill="auto"/>
              <w:jc w:val="center"/>
              <w:rPr>
                <w:rFonts w:hint="eastAsia" w:ascii="宋体" w:hAnsi="宋体" w:eastAsia="宋体" w:cs="宋体"/>
                <w:color w:val="auto"/>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14:paraId="65C3176B">
            <w:pPr>
              <w:widowControl/>
              <w:shd w:val="clear" w:color="auto" w:fill="auto"/>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078A0993">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01" w:type="dxa"/>
            <w:tcBorders>
              <w:top w:val="nil"/>
              <w:left w:val="nil"/>
              <w:bottom w:val="single" w:color="auto" w:sz="4" w:space="0"/>
              <w:right w:val="single" w:color="auto" w:sz="4" w:space="0"/>
            </w:tcBorders>
            <w:noWrap w:val="0"/>
            <w:vAlign w:val="center"/>
          </w:tcPr>
          <w:p w14:paraId="0B049C35">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19127A8F">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3E8409C3">
            <w:pPr>
              <w:widowControl/>
              <w:shd w:val="clear" w:color="auto" w:fill="auto"/>
              <w:jc w:val="left"/>
              <w:rPr>
                <w:rFonts w:hint="eastAsia" w:ascii="宋体" w:hAnsi="宋体" w:eastAsia="宋体" w:cs="宋体"/>
                <w:color w:val="auto"/>
                <w:kern w:val="0"/>
                <w:sz w:val="18"/>
                <w:szCs w:val="18"/>
                <w:highlight w:val="none"/>
              </w:rPr>
            </w:pPr>
          </w:p>
        </w:tc>
      </w:tr>
      <w:tr w14:paraId="575CFECC">
        <w:tblPrEx>
          <w:tblCellMar>
            <w:top w:w="0" w:type="dxa"/>
            <w:left w:w="108" w:type="dxa"/>
            <w:bottom w:w="0" w:type="dxa"/>
            <w:right w:w="108" w:type="dxa"/>
          </w:tblCellMar>
        </w:tblPrEx>
        <w:trPr>
          <w:trHeight w:val="331" w:hRule="atLeast"/>
          <w:jc w:val="center"/>
        </w:trPr>
        <w:tc>
          <w:tcPr>
            <w:tcW w:w="2779" w:type="dxa"/>
            <w:tcBorders>
              <w:top w:val="single" w:color="auto" w:sz="4" w:space="0"/>
              <w:left w:val="single" w:color="auto" w:sz="4" w:space="0"/>
              <w:bottom w:val="single" w:color="auto" w:sz="4" w:space="0"/>
              <w:right w:val="single" w:color="auto" w:sz="4" w:space="0"/>
            </w:tcBorders>
            <w:noWrap w:val="0"/>
            <w:vAlign w:val="center"/>
          </w:tcPr>
          <w:p w14:paraId="5B058B4C">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地面小垃圾的排扫</w:t>
            </w:r>
          </w:p>
        </w:tc>
        <w:tc>
          <w:tcPr>
            <w:tcW w:w="833" w:type="dxa"/>
            <w:tcBorders>
              <w:top w:val="single" w:color="auto" w:sz="4" w:space="0"/>
              <w:left w:val="nil"/>
              <w:bottom w:val="single" w:color="auto" w:sz="4" w:space="0"/>
              <w:right w:val="single" w:color="auto" w:sz="4" w:space="0"/>
            </w:tcBorders>
            <w:noWrap w:val="0"/>
            <w:vAlign w:val="center"/>
          </w:tcPr>
          <w:p w14:paraId="484DA2E1">
            <w:pPr>
              <w:widowControl/>
              <w:shd w:val="clear" w:color="auto" w:fill="auto"/>
              <w:jc w:val="center"/>
              <w:rPr>
                <w:rFonts w:hint="eastAsia" w:ascii="宋体" w:hAnsi="宋体" w:eastAsia="宋体" w:cs="宋体"/>
                <w:color w:val="auto"/>
                <w:kern w:val="0"/>
                <w:sz w:val="18"/>
                <w:szCs w:val="18"/>
                <w:highlight w:val="none"/>
              </w:rPr>
            </w:pPr>
          </w:p>
        </w:tc>
        <w:tc>
          <w:tcPr>
            <w:tcW w:w="864" w:type="dxa"/>
            <w:tcBorders>
              <w:top w:val="single" w:color="auto" w:sz="4" w:space="0"/>
              <w:left w:val="nil"/>
              <w:bottom w:val="single" w:color="auto" w:sz="4" w:space="0"/>
              <w:right w:val="single" w:color="auto" w:sz="4" w:space="0"/>
            </w:tcBorders>
            <w:noWrap w:val="0"/>
            <w:vAlign w:val="center"/>
          </w:tcPr>
          <w:p w14:paraId="7098FD32">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10" w:type="dxa"/>
            <w:tcBorders>
              <w:top w:val="single" w:color="auto" w:sz="4" w:space="0"/>
              <w:left w:val="nil"/>
              <w:bottom w:val="single" w:color="auto" w:sz="4" w:space="0"/>
              <w:right w:val="single" w:color="auto" w:sz="4" w:space="0"/>
            </w:tcBorders>
            <w:noWrap w:val="0"/>
            <w:vAlign w:val="center"/>
          </w:tcPr>
          <w:p w14:paraId="05F88497">
            <w:pPr>
              <w:widowControl/>
              <w:shd w:val="clear" w:color="auto" w:fill="auto"/>
              <w:jc w:val="center"/>
              <w:rPr>
                <w:rFonts w:hint="eastAsia" w:ascii="宋体" w:hAnsi="宋体" w:eastAsia="宋体" w:cs="宋体"/>
                <w:color w:val="auto"/>
                <w:kern w:val="0"/>
                <w:sz w:val="18"/>
                <w:szCs w:val="18"/>
                <w:highlight w:val="none"/>
              </w:rPr>
            </w:pPr>
          </w:p>
        </w:tc>
        <w:tc>
          <w:tcPr>
            <w:tcW w:w="802" w:type="dxa"/>
            <w:tcBorders>
              <w:top w:val="single" w:color="auto" w:sz="4" w:space="0"/>
              <w:left w:val="nil"/>
              <w:bottom w:val="single" w:color="auto" w:sz="4" w:space="0"/>
              <w:right w:val="single" w:color="auto" w:sz="4" w:space="0"/>
            </w:tcBorders>
            <w:noWrap w:val="0"/>
            <w:vAlign w:val="center"/>
          </w:tcPr>
          <w:p w14:paraId="5BF2E95D">
            <w:pPr>
              <w:widowControl/>
              <w:shd w:val="clear" w:color="auto" w:fill="auto"/>
              <w:jc w:val="center"/>
              <w:rPr>
                <w:rFonts w:hint="eastAsia" w:ascii="宋体" w:hAnsi="宋体" w:eastAsia="宋体" w:cs="宋体"/>
                <w:color w:val="auto"/>
                <w:kern w:val="0"/>
                <w:sz w:val="18"/>
                <w:szCs w:val="18"/>
                <w:highlight w:val="none"/>
              </w:rPr>
            </w:pPr>
          </w:p>
        </w:tc>
        <w:tc>
          <w:tcPr>
            <w:tcW w:w="801" w:type="dxa"/>
            <w:tcBorders>
              <w:top w:val="single" w:color="auto" w:sz="4" w:space="0"/>
              <w:left w:val="nil"/>
              <w:bottom w:val="single" w:color="auto" w:sz="4" w:space="0"/>
              <w:right w:val="single" w:color="auto" w:sz="4" w:space="0"/>
            </w:tcBorders>
            <w:noWrap w:val="0"/>
            <w:vAlign w:val="center"/>
          </w:tcPr>
          <w:p w14:paraId="2BFE6BBD">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single" w:color="auto" w:sz="4" w:space="0"/>
              <w:left w:val="nil"/>
              <w:bottom w:val="single" w:color="auto" w:sz="4" w:space="0"/>
              <w:right w:val="single" w:color="auto" w:sz="4" w:space="0"/>
            </w:tcBorders>
            <w:noWrap w:val="0"/>
            <w:vAlign w:val="center"/>
          </w:tcPr>
          <w:p w14:paraId="4474BED7">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single" w:color="auto" w:sz="4" w:space="0"/>
              <w:left w:val="nil"/>
              <w:bottom w:val="single" w:color="auto" w:sz="4" w:space="0"/>
              <w:right w:val="single" w:color="auto" w:sz="4" w:space="0"/>
            </w:tcBorders>
            <w:noWrap w:val="0"/>
            <w:vAlign w:val="center"/>
          </w:tcPr>
          <w:p w14:paraId="037F5288">
            <w:pPr>
              <w:widowControl/>
              <w:shd w:val="clear" w:color="auto" w:fill="auto"/>
              <w:jc w:val="left"/>
              <w:rPr>
                <w:rFonts w:hint="eastAsia" w:ascii="宋体" w:hAnsi="宋体" w:eastAsia="宋体" w:cs="宋体"/>
                <w:color w:val="auto"/>
                <w:kern w:val="0"/>
                <w:sz w:val="18"/>
                <w:szCs w:val="18"/>
                <w:highlight w:val="none"/>
              </w:rPr>
            </w:pPr>
          </w:p>
        </w:tc>
      </w:tr>
      <w:tr w14:paraId="7690F4BA">
        <w:tblPrEx>
          <w:tblCellMar>
            <w:top w:w="0" w:type="dxa"/>
            <w:left w:w="108" w:type="dxa"/>
            <w:bottom w:w="0" w:type="dxa"/>
            <w:right w:w="108" w:type="dxa"/>
          </w:tblCellMar>
        </w:tblPrEx>
        <w:trPr>
          <w:trHeight w:val="331" w:hRule="atLeast"/>
          <w:jc w:val="center"/>
        </w:trPr>
        <w:tc>
          <w:tcPr>
            <w:tcW w:w="2779" w:type="dxa"/>
            <w:tcBorders>
              <w:top w:val="nil"/>
              <w:left w:val="single" w:color="auto" w:sz="4" w:space="0"/>
              <w:bottom w:val="single" w:color="auto" w:sz="4" w:space="0"/>
              <w:right w:val="single" w:color="auto" w:sz="4" w:space="0"/>
            </w:tcBorders>
            <w:noWrap w:val="0"/>
            <w:vAlign w:val="center"/>
          </w:tcPr>
          <w:p w14:paraId="4489695D">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台账记录</w:t>
            </w:r>
          </w:p>
        </w:tc>
        <w:tc>
          <w:tcPr>
            <w:tcW w:w="833" w:type="dxa"/>
            <w:tcBorders>
              <w:top w:val="nil"/>
              <w:left w:val="nil"/>
              <w:bottom w:val="single" w:color="auto" w:sz="4" w:space="0"/>
              <w:right w:val="single" w:color="auto" w:sz="4" w:space="0"/>
            </w:tcBorders>
            <w:noWrap w:val="0"/>
            <w:vAlign w:val="center"/>
          </w:tcPr>
          <w:p w14:paraId="425EAB6F">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864" w:type="dxa"/>
            <w:tcBorders>
              <w:top w:val="nil"/>
              <w:left w:val="nil"/>
              <w:bottom w:val="single" w:color="auto" w:sz="4" w:space="0"/>
              <w:right w:val="single" w:color="auto" w:sz="4" w:space="0"/>
            </w:tcBorders>
            <w:noWrap w:val="0"/>
            <w:vAlign w:val="center"/>
          </w:tcPr>
          <w:p w14:paraId="5312ACD6">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10" w:type="dxa"/>
            <w:tcBorders>
              <w:top w:val="nil"/>
              <w:left w:val="nil"/>
              <w:bottom w:val="single" w:color="auto" w:sz="4" w:space="0"/>
              <w:right w:val="single" w:color="auto" w:sz="4" w:space="0"/>
            </w:tcBorders>
            <w:noWrap w:val="0"/>
            <w:vAlign w:val="center"/>
          </w:tcPr>
          <w:p w14:paraId="1A8B67AB">
            <w:pPr>
              <w:widowControl/>
              <w:shd w:val="clear" w:color="auto" w:fill="auto"/>
              <w:jc w:val="center"/>
              <w:rPr>
                <w:rFonts w:hint="eastAsia" w:ascii="宋体" w:hAnsi="宋体" w:eastAsia="宋体" w:cs="宋体"/>
                <w:color w:val="auto"/>
                <w:kern w:val="0"/>
                <w:sz w:val="18"/>
                <w:szCs w:val="18"/>
                <w:highlight w:val="none"/>
              </w:rPr>
            </w:pPr>
          </w:p>
        </w:tc>
        <w:tc>
          <w:tcPr>
            <w:tcW w:w="802" w:type="dxa"/>
            <w:tcBorders>
              <w:top w:val="nil"/>
              <w:left w:val="nil"/>
              <w:bottom w:val="single" w:color="auto" w:sz="4" w:space="0"/>
              <w:right w:val="single" w:color="auto" w:sz="4" w:space="0"/>
            </w:tcBorders>
            <w:noWrap w:val="0"/>
            <w:vAlign w:val="center"/>
          </w:tcPr>
          <w:p w14:paraId="37589448">
            <w:pPr>
              <w:widowControl/>
              <w:shd w:val="clear" w:color="auto" w:fill="auto"/>
              <w:jc w:val="center"/>
              <w:rPr>
                <w:rFonts w:hint="eastAsia" w:ascii="宋体" w:hAnsi="宋体" w:eastAsia="宋体" w:cs="宋体"/>
                <w:color w:val="auto"/>
                <w:kern w:val="0"/>
                <w:sz w:val="18"/>
                <w:szCs w:val="18"/>
                <w:highlight w:val="none"/>
              </w:rPr>
            </w:pPr>
          </w:p>
        </w:tc>
        <w:tc>
          <w:tcPr>
            <w:tcW w:w="801" w:type="dxa"/>
            <w:tcBorders>
              <w:top w:val="nil"/>
              <w:left w:val="nil"/>
              <w:bottom w:val="single" w:color="auto" w:sz="4" w:space="0"/>
              <w:right w:val="single" w:color="auto" w:sz="4" w:space="0"/>
            </w:tcBorders>
            <w:noWrap w:val="0"/>
            <w:vAlign w:val="center"/>
          </w:tcPr>
          <w:p w14:paraId="4C6A7914">
            <w:pPr>
              <w:widowControl/>
              <w:shd w:val="clear" w:color="auto" w:fill="auto"/>
              <w:jc w:val="center"/>
              <w:rPr>
                <w:rFonts w:hint="eastAsia" w:ascii="宋体" w:hAnsi="宋体" w:eastAsia="宋体" w:cs="宋体"/>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14:paraId="4B4BE709">
            <w:pPr>
              <w:widowControl/>
              <w:shd w:val="clear" w:color="auto" w:fill="auto"/>
              <w:jc w:val="center"/>
              <w:rPr>
                <w:rFonts w:hint="eastAsia" w:ascii="宋体" w:hAnsi="宋体" w:eastAsia="宋体" w:cs="宋体"/>
                <w:color w:val="auto"/>
                <w:kern w:val="0"/>
                <w:sz w:val="18"/>
                <w:szCs w:val="18"/>
                <w:highlight w:val="none"/>
              </w:rPr>
            </w:pPr>
          </w:p>
        </w:tc>
        <w:tc>
          <w:tcPr>
            <w:tcW w:w="1879" w:type="dxa"/>
            <w:tcBorders>
              <w:top w:val="nil"/>
              <w:left w:val="nil"/>
              <w:bottom w:val="single" w:color="auto" w:sz="4" w:space="0"/>
              <w:right w:val="single" w:color="auto" w:sz="4" w:space="0"/>
            </w:tcBorders>
            <w:noWrap w:val="0"/>
            <w:vAlign w:val="center"/>
          </w:tcPr>
          <w:p w14:paraId="775B7A4D">
            <w:pPr>
              <w:widowControl/>
              <w:shd w:val="clear" w:color="auto" w:fill="auto"/>
              <w:jc w:val="left"/>
              <w:rPr>
                <w:rFonts w:hint="eastAsia" w:ascii="宋体" w:hAnsi="宋体" w:eastAsia="宋体" w:cs="宋体"/>
                <w:color w:val="auto"/>
                <w:kern w:val="0"/>
                <w:sz w:val="18"/>
                <w:szCs w:val="18"/>
                <w:highlight w:val="none"/>
              </w:rPr>
            </w:pPr>
          </w:p>
        </w:tc>
      </w:tr>
      <w:tr w14:paraId="00CE35DD">
        <w:tblPrEx>
          <w:tblCellMar>
            <w:top w:w="0" w:type="dxa"/>
            <w:left w:w="108" w:type="dxa"/>
            <w:bottom w:w="0" w:type="dxa"/>
            <w:right w:w="108" w:type="dxa"/>
          </w:tblCellMar>
        </w:tblPrEx>
        <w:trPr>
          <w:trHeight w:val="443" w:hRule="atLeast"/>
          <w:jc w:val="center"/>
        </w:trPr>
        <w:tc>
          <w:tcPr>
            <w:tcW w:w="2779" w:type="dxa"/>
            <w:tcBorders>
              <w:top w:val="single" w:color="auto" w:sz="4" w:space="0"/>
              <w:left w:val="single" w:color="auto" w:sz="4" w:space="0"/>
              <w:bottom w:val="single" w:color="auto" w:sz="4" w:space="0"/>
              <w:right w:val="single" w:color="auto" w:sz="4" w:space="0"/>
            </w:tcBorders>
            <w:noWrap w:val="0"/>
            <w:vAlign w:val="center"/>
          </w:tcPr>
          <w:p w14:paraId="2AA537A5">
            <w:pPr>
              <w:widowControl/>
              <w:shd w:val="clear" w:color="auto" w:fill="auto"/>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标示宣传牌、雕塑</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5D052D9A">
            <w:pPr>
              <w:widowControl/>
              <w:shd w:val="clear" w:color="auto" w:fill="auto"/>
              <w:spacing w:line="360" w:lineRule="auto"/>
              <w:ind w:firstLine="149" w:firstLineChars="83"/>
              <w:jc w:val="center"/>
              <w:rPr>
                <w:rFonts w:hint="eastAsia" w:ascii="宋体" w:hAnsi="宋体" w:eastAsia="宋体" w:cs="宋体"/>
                <w:color w:val="auto"/>
                <w:kern w:val="0"/>
                <w:sz w:val="18"/>
                <w:szCs w:val="18"/>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7F00428E">
            <w:pPr>
              <w:widowControl/>
              <w:shd w:val="clear" w:color="auto" w:fill="auto"/>
              <w:spacing w:line="360" w:lineRule="auto"/>
              <w:ind w:firstLine="480"/>
              <w:jc w:val="center"/>
              <w:rPr>
                <w:rFonts w:hint="eastAsia" w:ascii="宋体" w:hAnsi="宋体" w:eastAsia="宋体" w:cs="宋体"/>
                <w:color w:val="auto"/>
                <w:kern w:val="0"/>
                <w:sz w:val="18"/>
                <w:szCs w:val="18"/>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208B8519">
            <w:pPr>
              <w:widowControl/>
              <w:shd w:val="clear" w:color="auto" w:fill="auto"/>
              <w:spacing w:line="360" w:lineRule="auto"/>
              <w:jc w:val="center"/>
              <w:rPr>
                <w:rFonts w:hint="eastAsia" w:ascii="宋体" w:hAnsi="宋体" w:eastAsia="宋体" w:cs="宋体"/>
                <w:color w:val="auto"/>
                <w:kern w:val="0"/>
                <w:sz w:val="18"/>
                <w:szCs w:val="18"/>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64B8F822">
            <w:pPr>
              <w:widowControl/>
              <w:shd w:val="clear" w:color="auto" w:fill="auto"/>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40C0D32F">
            <w:pPr>
              <w:widowControl/>
              <w:shd w:val="clear" w:color="auto" w:fill="auto"/>
              <w:spacing w:line="360" w:lineRule="auto"/>
              <w:jc w:val="center"/>
              <w:rPr>
                <w:rFonts w:hint="eastAsia" w:ascii="宋体" w:hAnsi="宋体" w:eastAsia="宋体" w:cs="宋体"/>
                <w:color w:val="auto"/>
                <w:kern w:val="0"/>
                <w:sz w:val="18"/>
                <w:szCs w:val="18"/>
                <w:highlight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06913A4E">
            <w:pPr>
              <w:widowControl/>
              <w:shd w:val="clear" w:color="auto" w:fill="auto"/>
              <w:spacing w:line="360" w:lineRule="auto"/>
              <w:jc w:val="center"/>
              <w:rPr>
                <w:rFonts w:hint="eastAsia" w:ascii="宋体" w:hAnsi="宋体" w:eastAsia="宋体" w:cs="宋体"/>
                <w:color w:val="auto"/>
                <w:kern w:val="0"/>
                <w:sz w:val="18"/>
                <w:szCs w:val="18"/>
                <w:highlight w:val="none"/>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14:paraId="1BA94B67">
            <w:pPr>
              <w:widowControl/>
              <w:shd w:val="clear" w:color="auto" w:fill="auto"/>
              <w:spacing w:line="360" w:lineRule="auto"/>
              <w:jc w:val="left"/>
              <w:rPr>
                <w:rFonts w:hint="eastAsia" w:ascii="宋体" w:hAnsi="宋体" w:eastAsia="宋体" w:cs="宋体"/>
                <w:color w:val="auto"/>
                <w:kern w:val="0"/>
                <w:sz w:val="18"/>
                <w:szCs w:val="18"/>
                <w:highlight w:val="none"/>
              </w:rPr>
            </w:pPr>
          </w:p>
        </w:tc>
      </w:tr>
      <w:tr w14:paraId="021BD145">
        <w:tblPrEx>
          <w:tblCellMar>
            <w:top w:w="0" w:type="dxa"/>
            <w:left w:w="108" w:type="dxa"/>
            <w:bottom w:w="0" w:type="dxa"/>
            <w:right w:w="108" w:type="dxa"/>
          </w:tblCellMar>
        </w:tblPrEx>
        <w:trPr>
          <w:trHeight w:val="453" w:hRule="atLeast"/>
          <w:jc w:val="center"/>
        </w:trPr>
        <w:tc>
          <w:tcPr>
            <w:tcW w:w="2779" w:type="dxa"/>
            <w:tcBorders>
              <w:top w:val="single" w:color="auto" w:sz="4" w:space="0"/>
              <w:left w:val="single" w:color="auto" w:sz="4" w:space="0"/>
              <w:bottom w:val="single" w:color="auto" w:sz="4" w:space="0"/>
              <w:right w:val="single" w:color="auto" w:sz="4" w:space="0"/>
            </w:tcBorders>
            <w:noWrap w:val="0"/>
            <w:vAlign w:val="center"/>
          </w:tcPr>
          <w:p w14:paraId="38D28A73">
            <w:pPr>
              <w:widowControl/>
              <w:shd w:val="clear" w:color="auto" w:fill="auto"/>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步行广场</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0EABBFFB">
            <w:pPr>
              <w:widowControl/>
              <w:shd w:val="clear" w:color="auto" w:fill="auto"/>
              <w:spacing w:line="360" w:lineRule="auto"/>
              <w:ind w:firstLine="149" w:firstLineChars="83"/>
              <w:jc w:val="center"/>
              <w:rPr>
                <w:rFonts w:hint="eastAsia" w:ascii="宋体" w:hAnsi="宋体" w:eastAsia="宋体" w:cs="宋体"/>
                <w:color w:val="auto"/>
                <w:kern w:val="0"/>
                <w:sz w:val="18"/>
                <w:szCs w:val="18"/>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6BD03B3F">
            <w:pPr>
              <w:widowControl/>
              <w:shd w:val="clear" w:color="auto" w:fill="auto"/>
              <w:spacing w:line="360" w:lineRule="auto"/>
              <w:ind w:firstLine="480"/>
              <w:jc w:val="center"/>
              <w:rPr>
                <w:rFonts w:hint="eastAsia" w:ascii="宋体" w:hAnsi="宋体" w:eastAsia="宋体" w:cs="宋体"/>
                <w:color w:val="auto"/>
                <w:kern w:val="0"/>
                <w:sz w:val="18"/>
                <w:szCs w:val="18"/>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0AD27822">
            <w:pPr>
              <w:widowControl/>
              <w:shd w:val="clear" w:color="auto" w:fill="auto"/>
              <w:spacing w:line="360" w:lineRule="auto"/>
              <w:jc w:val="center"/>
              <w:rPr>
                <w:rFonts w:hint="eastAsia" w:ascii="宋体" w:hAnsi="宋体" w:eastAsia="宋体" w:cs="宋体"/>
                <w:color w:val="auto"/>
                <w:kern w:val="0"/>
                <w:sz w:val="18"/>
                <w:szCs w:val="18"/>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1F8CBD86">
            <w:pPr>
              <w:widowControl/>
              <w:shd w:val="clear" w:color="auto" w:fill="auto"/>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657E5110">
            <w:pPr>
              <w:widowControl/>
              <w:shd w:val="clear" w:color="auto" w:fill="auto"/>
              <w:spacing w:line="360" w:lineRule="auto"/>
              <w:jc w:val="center"/>
              <w:rPr>
                <w:rFonts w:hint="eastAsia" w:ascii="宋体" w:hAnsi="宋体" w:eastAsia="宋体" w:cs="宋体"/>
                <w:color w:val="auto"/>
                <w:kern w:val="0"/>
                <w:sz w:val="18"/>
                <w:szCs w:val="18"/>
                <w:highlight w:val="none"/>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69C19C76">
            <w:pPr>
              <w:widowControl/>
              <w:shd w:val="clear" w:color="auto" w:fill="auto"/>
              <w:spacing w:line="360" w:lineRule="auto"/>
              <w:jc w:val="center"/>
              <w:rPr>
                <w:rFonts w:hint="eastAsia" w:ascii="宋体" w:hAnsi="宋体" w:eastAsia="宋体" w:cs="宋体"/>
                <w:color w:val="auto"/>
                <w:kern w:val="0"/>
                <w:sz w:val="18"/>
                <w:szCs w:val="18"/>
                <w:highlight w:val="none"/>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14:paraId="2F626733">
            <w:pPr>
              <w:widowControl/>
              <w:shd w:val="clear" w:color="auto" w:fill="auto"/>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使用洗地机清洗</w:t>
            </w:r>
          </w:p>
        </w:tc>
      </w:tr>
      <w:tr w14:paraId="771575B3">
        <w:tblPrEx>
          <w:tblCellMar>
            <w:top w:w="0" w:type="dxa"/>
            <w:left w:w="108" w:type="dxa"/>
            <w:bottom w:w="0" w:type="dxa"/>
            <w:right w:w="108" w:type="dxa"/>
          </w:tblCellMar>
        </w:tblPrEx>
        <w:trPr>
          <w:trHeight w:val="453" w:hRule="atLeast"/>
          <w:jc w:val="center"/>
        </w:trPr>
        <w:tc>
          <w:tcPr>
            <w:tcW w:w="2779" w:type="dxa"/>
            <w:tcBorders>
              <w:top w:val="single" w:color="auto" w:sz="4" w:space="0"/>
              <w:left w:val="single" w:color="auto" w:sz="4" w:space="0"/>
              <w:bottom w:val="single" w:color="auto" w:sz="4" w:space="0"/>
              <w:right w:val="single" w:color="auto" w:sz="4" w:space="0"/>
            </w:tcBorders>
            <w:noWrap w:val="0"/>
            <w:vAlign w:val="center"/>
          </w:tcPr>
          <w:p w14:paraId="2CD44625">
            <w:pPr>
              <w:widowControl/>
              <w:shd w:val="clear" w:color="auto" w:fill="auto"/>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除草后清理</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040914A5">
            <w:pPr>
              <w:widowControl/>
              <w:shd w:val="clear" w:color="auto" w:fill="auto"/>
              <w:spacing w:line="360" w:lineRule="auto"/>
              <w:ind w:firstLine="149" w:firstLineChars="83"/>
              <w:jc w:val="center"/>
              <w:rPr>
                <w:rFonts w:hint="eastAsia" w:ascii="宋体" w:hAnsi="宋体" w:eastAsia="宋体" w:cs="宋体"/>
                <w:color w:val="auto"/>
                <w:kern w:val="0"/>
                <w:sz w:val="18"/>
                <w:szCs w:val="18"/>
                <w:highlight w:val="none"/>
              </w:rPr>
            </w:pPr>
          </w:p>
        </w:tc>
        <w:tc>
          <w:tcPr>
            <w:tcW w:w="864" w:type="dxa"/>
            <w:tcBorders>
              <w:top w:val="single" w:color="auto" w:sz="4" w:space="0"/>
              <w:left w:val="single" w:color="auto" w:sz="4" w:space="0"/>
              <w:bottom w:val="single" w:color="auto" w:sz="4" w:space="0"/>
              <w:right w:val="single" w:color="auto" w:sz="4" w:space="0"/>
            </w:tcBorders>
            <w:noWrap w:val="0"/>
            <w:vAlign w:val="center"/>
          </w:tcPr>
          <w:p w14:paraId="7F1AC7B6">
            <w:pPr>
              <w:widowControl/>
              <w:shd w:val="clear" w:color="auto" w:fill="auto"/>
              <w:spacing w:line="360" w:lineRule="auto"/>
              <w:ind w:firstLine="480"/>
              <w:jc w:val="center"/>
              <w:rPr>
                <w:rFonts w:hint="eastAsia" w:ascii="宋体" w:hAnsi="宋体" w:eastAsia="宋体" w:cs="宋体"/>
                <w:color w:val="auto"/>
                <w:kern w:val="0"/>
                <w:sz w:val="18"/>
                <w:szCs w:val="18"/>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32FDCB34">
            <w:pPr>
              <w:widowControl/>
              <w:shd w:val="clear" w:color="auto" w:fill="auto"/>
              <w:spacing w:line="360" w:lineRule="auto"/>
              <w:jc w:val="center"/>
              <w:rPr>
                <w:rFonts w:hint="eastAsia" w:ascii="宋体" w:hAnsi="宋体" w:eastAsia="宋体" w:cs="宋体"/>
                <w:color w:val="auto"/>
                <w:kern w:val="0"/>
                <w:sz w:val="18"/>
                <w:szCs w:val="18"/>
                <w:highlight w:val="none"/>
              </w:rPr>
            </w:pPr>
          </w:p>
        </w:tc>
        <w:tc>
          <w:tcPr>
            <w:tcW w:w="802" w:type="dxa"/>
            <w:tcBorders>
              <w:top w:val="single" w:color="auto" w:sz="4" w:space="0"/>
              <w:left w:val="single" w:color="auto" w:sz="4" w:space="0"/>
              <w:bottom w:val="single" w:color="auto" w:sz="4" w:space="0"/>
              <w:right w:val="single" w:color="auto" w:sz="4" w:space="0"/>
            </w:tcBorders>
            <w:noWrap w:val="0"/>
            <w:vAlign w:val="center"/>
          </w:tcPr>
          <w:p w14:paraId="168594CC">
            <w:pPr>
              <w:widowControl/>
              <w:shd w:val="clear" w:color="auto" w:fill="auto"/>
              <w:spacing w:line="360" w:lineRule="auto"/>
              <w:jc w:val="center"/>
              <w:rPr>
                <w:rFonts w:hint="eastAsia" w:ascii="宋体" w:hAnsi="宋体" w:eastAsia="宋体" w:cs="宋体"/>
                <w:color w:val="auto"/>
                <w:kern w:val="0"/>
                <w:sz w:val="18"/>
                <w:szCs w:val="18"/>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center"/>
          </w:tcPr>
          <w:p w14:paraId="324ACFDE">
            <w:pPr>
              <w:widowControl/>
              <w:shd w:val="clear" w:color="auto" w:fill="auto"/>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7EE41140">
            <w:pPr>
              <w:widowControl/>
              <w:shd w:val="clear" w:color="auto" w:fill="auto"/>
              <w:spacing w:line="360" w:lineRule="auto"/>
              <w:jc w:val="center"/>
              <w:rPr>
                <w:rFonts w:hint="eastAsia" w:ascii="宋体" w:hAnsi="宋体" w:eastAsia="宋体" w:cs="宋体"/>
                <w:color w:val="auto"/>
                <w:kern w:val="0"/>
                <w:sz w:val="18"/>
                <w:szCs w:val="18"/>
                <w:highlight w:val="none"/>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14:paraId="108A642C">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保安除草机收割完毕后，及时对废草进行清理</w:t>
            </w:r>
          </w:p>
        </w:tc>
      </w:tr>
    </w:tbl>
    <w:p w14:paraId="2A4A34D2">
      <w:pPr>
        <w:shd w:val="clear" w:color="auto" w:fill="auto"/>
        <w:spacing w:line="24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三、大厅保洁：包括办公室、会议室等</w:t>
      </w:r>
    </w:p>
    <w:p w14:paraId="79ABCC2B">
      <w:pPr>
        <w:shd w:val="clear" w:color="auto" w:fill="auto"/>
        <w:spacing w:line="24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1、工作内容：</w:t>
      </w:r>
    </w:p>
    <w:p w14:paraId="5A9F781B">
      <w:pPr>
        <w:shd w:val="clear" w:color="auto" w:fill="auto"/>
        <w:spacing w:line="24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厅（商场）地面清扫、除尘、去污渍、湿拖，收集垃圾去指定地点并更换垃圾袋，清洁垃圾桶内外；大理石立柱（2米以下）、墙面、玻璃门清洁、去尘，玻璃幕墙内外（2米以下），门厅设施，沙发、桌椅、防滑地毯清洁吸尘，清洁除尘消防箱及灭火器，去除蜘蛛网，做好台账记录。办公区域：清扫拖地，收集垃圾，更换垃圾袋，湿擦房门及清洁玻璃，家具及固定设备除尘，湿擦，去除蜘蛛网。会议室：门、窗台、窗框，扶手。墙面、地脚线、护墙板。桌椅擦拭。室内绿化、告示牌、指示牌保洁。</w:t>
      </w:r>
    </w:p>
    <w:p w14:paraId="640DAE8B">
      <w:pPr>
        <w:shd w:val="clear" w:color="auto" w:fill="auto"/>
        <w:spacing w:line="24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2、工作频率：</w:t>
      </w:r>
    </w:p>
    <w:tbl>
      <w:tblPr>
        <w:tblStyle w:val="24"/>
        <w:tblW w:w="9640" w:type="dxa"/>
        <w:jc w:val="center"/>
        <w:tblLayout w:type="fixed"/>
        <w:tblCellMar>
          <w:top w:w="0" w:type="dxa"/>
          <w:left w:w="108" w:type="dxa"/>
          <w:bottom w:w="0" w:type="dxa"/>
          <w:right w:w="108" w:type="dxa"/>
        </w:tblCellMar>
      </w:tblPr>
      <w:tblGrid>
        <w:gridCol w:w="1943"/>
        <w:gridCol w:w="990"/>
        <w:gridCol w:w="1185"/>
        <w:gridCol w:w="780"/>
        <w:gridCol w:w="990"/>
        <w:gridCol w:w="1035"/>
        <w:gridCol w:w="982"/>
        <w:gridCol w:w="1735"/>
      </w:tblGrid>
      <w:tr w14:paraId="6D929BD3">
        <w:tblPrEx>
          <w:tblCellMar>
            <w:top w:w="0" w:type="dxa"/>
            <w:left w:w="108" w:type="dxa"/>
            <w:bottom w:w="0" w:type="dxa"/>
            <w:right w:w="108" w:type="dxa"/>
          </w:tblCellMar>
        </w:tblPrEx>
        <w:trPr>
          <w:trHeight w:val="268" w:hRule="atLeast"/>
          <w:jc w:val="center"/>
        </w:trPr>
        <w:tc>
          <w:tcPr>
            <w:tcW w:w="1943" w:type="dxa"/>
            <w:vMerge w:val="restart"/>
            <w:tcBorders>
              <w:top w:val="single" w:color="auto" w:sz="4" w:space="0"/>
              <w:left w:val="single" w:color="auto" w:sz="4" w:space="0"/>
              <w:bottom w:val="single" w:color="000000" w:sz="4" w:space="0"/>
              <w:right w:val="single" w:color="auto" w:sz="4" w:space="0"/>
            </w:tcBorders>
            <w:noWrap w:val="0"/>
            <w:vAlign w:val="center"/>
          </w:tcPr>
          <w:p w14:paraId="35D96EB8">
            <w:pPr>
              <w:widowControl/>
              <w:shd w:val="clear" w:color="auto" w:fill="auto"/>
              <w:rPr>
                <w:rFonts w:hint="eastAsia" w:ascii="宋体" w:hAnsi="宋体" w:eastAsia="宋体" w:cs="宋体"/>
                <w:color w:val="auto"/>
                <w:kern w:val="0"/>
                <w:sz w:val="18"/>
                <w:szCs w:val="18"/>
                <w:highlight w:val="none"/>
              </w:rPr>
            </w:pPr>
          </w:p>
        </w:tc>
        <w:tc>
          <w:tcPr>
            <w:tcW w:w="5962" w:type="dxa"/>
            <w:gridSpan w:val="6"/>
            <w:tcBorders>
              <w:top w:val="single" w:color="auto" w:sz="4" w:space="0"/>
              <w:left w:val="nil"/>
              <w:bottom w:val="single" w:color="auto" w:sz="4" w:space="0"/>
              <w:right w:val="single" w:color="000000" w:sz="4" w:space="0"/>
            </w:tcBorders>
            <w:noWrap w:val="0"/>
            <w:vAlign w:val="center"/>
          </w:tcPr>
          <w:p w14:paraId="38A9EF92">
            <w:pPr>
              <w:widowControl/>
              <w:shd w:val="clear" w:color="auto" w:fill="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735" w:type="dxa"/>
            <w:tcBorders>
              <w:top w:val="single" w:color="auto" w:sz="4" w:space="0"/>
              <w:left w:val="nil"/>
              <w:bottom w:val="single" w:color="auto" w:sz="4" w:space="0"/>
              <w:right w:val="single" w:color="auto" w:sz="4" w:space="0"/>
            </w:tcBorders>
            <w:noWrap w:val="0"/>
            <w:vAlign w:val="center"/>
          </w:tcPr>
          <w:p w14:paraId="49335739">
            <w:pPr>
              <w:widowControl/>
              <w:shd w:val="clear" w:color="auto" w:fill="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14:paraId="22A6F0A3">
        <w:tblPrEx>
          <w:tblCellMar>
            <w:top w:w="0" w:type="dxa"/>
            <w:left w:w="108" w:type="dxa"/>
            <w:bottom w:w="0" w:type="dxa"/>
            <w:right w:w="108" w:type="dxa"/>
          </w:tblCellMar>
        </w:tblPrEx>
        <w:trPr>
          <w:trHeight w:val="268" w:hRule="atLeast"/>
          <w:jc w:val="center"/>
        </w:trPr>
        <w:tc>
          <w:tcPr>
            <w:tcW w:w="1943" w:type="dxa"/>
            <w:vMerge w:val="continue"/>
            <w:tcBorders>
              <w:top w:val="single" w:color="auto" w:sz="4" w:space="0"/>
              <w:left w:val="single" w:color="auto" w:sz="4" w:space="0"/>
              <w:bottom w:val="single" w:color="000000" w:sz="4" w:space="0"/>
              <w:right w:val="single" w:color="auto" w:sz="4" w:space="0"/>
            </w:tcBorders>
            <w:noWrap w:val="0"/>
            <w:vAlign w:val="center"/>
          </w:tcPr>
          <w:p w14:paraId="09F0A13F">
            <w:pPr>
              <w:widowControl/>
              <w:shd w:val="clear" w:color="auto" w:fill="auto"/>
              <w:ind w:firstLine="480"/>
              <w:jc w:val="left"/>
              <w:rPr>
                <w:rFonts w:hint="eastAsia" w:ascii="宋体" w:hAnsi="宋体" w:eastAsia="宋体" w:cs="宋体"/>
                <w:color w:val="auto"/>
                <w:kern w:val="0"/>
                <w:sz w:val="18"/>
                <w:szCs w:val="18"/>
                <w:highlight w:val="none"/>
              </w:rPr>
            </w:pPr>
          </w:p>
        </w:tc>
        <w:tc>
          <w:tcPr>
            <w:tcW w:w="990" w:type="dxa"/>
            <w:tcBorders>
              <w:top w:val="nil"/>
              <w:left w:val="nil"/>
              <w:bottom w:val="nil"/>
              <w:right w:val="nil"/>
            </w:tcBorders>
            <w:noWrap w:val="0"/>
            <w:vAlign w:val="center"/>
          </w:tcPr>
          <w:p w14:paraId="0F1D0B09">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循环</w:t>
            </w:r>
          </w:p>
        </w:tc>
        <w:tc>
          <w:tcPr>
            <w:tcW w:w="1185" w:type="dxa"/>
            <w:tcBorders>
              <w:top w:val="nil"/>
              <w:left w:val="single" w:color="auto" w:sz="4" w:space="0"/>
              <w:bottom w:val="single" w:color="auto" w:sz="4" w:space="0"/>
              <w:right w:val="single" w:color="auto" w:sz="4" w:space="0"/>
            </w:tcBorders>
            <w:noWrap w:val="0"/>
            <w:vAlign w:val="center"/>
          </w:tcPr>
          <w:p w14:paraId="66EE2F80">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80" w:type="dxa"/>
            <w:tcBorders>
              <w:top w:val="nil"/>
              <w:left w:val="nil"/>
              <w:bottom w:val="single" w:color="auto" w:sz="4" w:space="0"/>
              <w:right w:val="single" w:color="auto" w:sz="4" w:space="0"/>
            </w:tcBorders>
            <w:noWrap w:val="0"/>
            <w:vAlign w:val="center"/>
          </w:tcPr>
          <w:p w14:paraId="5C55239E">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990" w:type="dxa"/>
            <w:tcBorders>
              <w:top w:val="nil"/>
              <w:left w:val="nil"/>
              <w:bottom w:val="single" w:color="auto" w:sz="4" w:space="0"/>
              <w:right w:val="single" w:color="auto" w:sz="4" w:space="0"/>
            </w:tcBorders>
            <w:noWrap w:val="0"/>
            <w:vAlign w:val="center"/>
          </w:tcPr>
          <w:p w14:paraId="6D68141E">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1035" w:type="dxa"/>
            <w:tcBorders>
              <w:top w:val="nil"/>
              <w:left w:val="nil"/>
              <w:bottom w:val="single" w:color="auto" w:sz="4" w:space="0"/>
              <w:right w:val="single" w:color="auto" w:sz="4" w:space="0"/>
            </w:tcBorders>
            <w:noWrap w:val="0"/>
            <w:vAlign w:val="center"/>
          </w:tcPr>
          <w:p w14:paraId="5954561E">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982" w:type="dxa"/>
            <w:tcBorders>
              <w:top w:val="nil"/>
              <w:left w:val="nil"/>
              <w:bottom w:val="single" w:color="auto" w:sz="4" w:space="0"/>
              <w:right w:val="single" w:color="auto" w:sz="4" w:space="0"/>
            </w:tcBorders>
            <w:noWrap w:val="0"/>
            <w:vAlign w:val="center"/>
          </w:tcPr>
          <w:p w14:paraId="6CB85246">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735" w:type="dxa"/>
            <w:tcBorders>
              <w:top w:val="nil"/>
              <w:left w:val="nil"/>
              <w:bottom w:val="single" w:color="auto" w:sz="4" w:space="0"/>
              <w:right w:val="single" w:color="auto" w:sz="4" w:space="0"/>
            </w:tcBorders>
            <w:noWrap w:val="0"/>
            <w:vAlign w:val="center"/>
          </w:tcPr>
          <w:p w14:paraId="147E3910">
            <w:pPr>
              <w:widowControl/>
              <w:shd w:val="clear" w:color="auto" w:fill="auto"/>
              <w:ind w:firstLine="480"/>
              <w:jc w:val="center"/>
              <w:rPr>
                <w:rFonts w:hint="eastAsia" w:ascii="宋体" w:hAnsi="宋体" w:eastAsia="宋体" w:cs="宋体"/>
                <w:color w:val="auto"/>
                <w:kern w:val="0"/>
                <w:sz w:val="18"/>
                <w:szCs w:val="18"/>
                <w:highlight w:val="none"/>
              </w:rPr>
            </w:pPr>
          </w:p>
        </w:tc>
      </w:tr>
      <w:tr w14:paraId="4DA2D737">
        <w:tblPrEx>
          <w:tblCellMar>
            <w:top w:w="0" w:type="dxa"/>
            <w:left w:w="108" w:type="dxa"/>
            <w:bottom w:w="0" w:type="dxa"/>
            <w:right w:w="108" w:type="dxa"/>
          </w:tblCellMar>
        </w:tblPrEx>
        <w:trPr>
          <w:trHeight w:val="527" w:hRule="atLeast"/>
          <w:jc w:val="center"/>
        </w:trPr>
        <w:tc>
          <w:tcPr>
            <w:tcW w:w="1943" w:type="dxa"/>
            <w:tcBorders>
              <w:top w:val="nil"/>
              <w:left w:val="single" w:color="auto" w:sz="4" w:space="0"/>
              <w:bottom w:val="single" w:color="auto" w:sz="4" w:space="0"/>
              <w:right w:val="single" w:color="auto" w:sz="4" w:space="0"/>
            </w:tcBorders>
            <w:noWrap w:val="0"/>
            <w:vAlign w:val="center"/>
          </w:tcPr>
          <w:p w14:paraId="4CA01EC0">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大厅（商场）、办公室、会议室</w:t>
            </w:r>
          </w:p>
        </w:tc>
        <w:tc>
          <w:tcPr>
            <w:tcW w:w="990" w:type="dxa"/>
            <w:tcBorders>
              <w:top w:val="single" w:color="auto" w:sz="4" w:space="0"/>
              <w:left w:val="nil"/>
              <w:bottom w:val="single" w:color="auto" w:sz="4" w:space="0"/>
              <w:right w:val="single" w:color="auto" w:sz="4" w:space="0"/>
            </w:tcBorders>
            <w:noWrap w:val="0"/>
            <w:vAlign w:val="center"/>
          </w:tcPr>
          <w:p w14:paraId="4308BC50">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1185" w:type="dxa"/>
            <w:tcBorders>
              <w:top w:val="nil"/>
              <w:left w:val="nil"/>
              <w:bottom w:val="single" w:color="auto" w:sz="4" w:space="0"/>
              <w:right w:val="single" w:color="auto" w:sz="4" w:space="0"/>
            </w:tcBorders>
            <w:noWrap w:val="0"/>
            <w:vAlign w:val="center"/>
          </w:tcPr>
          <w:p w14:paraId="7AED65AC">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80" w:type="dxa"/>
            <w:tcBorders>
              <w:top w:val="nil"/>
              <w:left w:val="nil"/>
              <w:bottom w:val="single" w:color="auto" w:sz="4" w:space="0"/>
              <w:right w:val="single" w:color="auto" w:sz="4" w:space="0"/>
            </w:tcBorders>
            <w:noWrap w:val="0"/>
            <w:vAlign w:val="center"/>
          </w:tcPr>
          <w:p w14:paraId="7F47C5CA">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nil"/>
              <w:left w:val="nil"/>
              <w:bottom w:val="single" w:color="auto" w:sz="4" w:space="0"/>
              <w:right w:val="single" w:color="auto" w:sz="4" w:space="0"/>
            </w:tcBorders>
            <w:noWrap w:val="0"/>
            <w:vAlign w:val="center"/>
          </w:tcPr>
          <w:p w14:paraId="4F2C1287">
            <w:pPr>
              <w:widowControl/>
              <w:shd w:val="clear" w:color="auto" w:fill="auto"/>
              <w:ind w:firstLine="480"/>
              <w:jc w:val="center"/>
              <w:rPr>
                <w:rFonts w:hint="eastAsia" w:ascii="宋体" w:hAnsi="宋体" w:eastAsia="宋体" w:cs="宋体"/>
                <w:color w:val="auto"/>
                <w:kern w:val="0"/>
                <w:sz w:val="18"/>
                <w:szCs w:val="18"/>
                <w:highlight w:val="none"/>
              </w:rPr>
            </w:pPr>
          </w:p>
        </w:tc>
        <w:tc>
          <w:tcPr>
            <w:tcW w:w="1035" w:type="dxa"/>
            <w:tcBorders>
              <w:top w:val="nil"/>
              <w:left w:val="nil"/>
              <w:bottom w:val="single" w:color="auto" w:sz="4" w:space="0"/>
              <w:right w:val="single" w:color="auto" w:sz="4" w:space="0"/>
            </w:tcBorders>
            <w:noWrap w:val="0"/>
            <w:vAlign w:val="center"/>
          </w:tcPr>
          <w:p w14:paraId="109E26C7">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2BABA3F7">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04FAEF6E">
            <w:pPr>
              <w:widowControl/>
              <w:shd w:val="clear" w:color="auto" w:fill="auto"/>
              <w:ind w:firstLine="480"/>
              <w:jc w:val="center"/>
              <w:rPr>
                <w:rFonts w:hint="eastAsia" w:ascii="宋体" w:hAnsi="宋体" w:eastAsia="宋体" w:cs="宋体"/>
                <w:color w:val="auto"/>
                <w:kern w:val="0"/>
                <w:sz w:val="18"/>
                <w:szCs w:val="18"/>
                <w:highlight w:val="none"/>
              </w:rPr>
            </w:pPr>
          </w:p>
        </w:tc>
      </w:tr>
      <w:tr w14:paraId="44576987">
        <w:tblPrEx>
          <w:tblCellMar>
            <w:top w:w="0" w:type="dxa"/>
            <w:left w:w="108" w:type="dxa"/>
            <w:bottom w:w="0" w:type="dxa"/>
            <w:right w:w="108" w:type="dxa"/>
          </w:tblCellMar>
        </w:tblPrEx>
        <w:trPr>
          <w:trHeight w:val="268" w:hRule="atLeast"/>
          <w:jc w:val="center"/>
        </w:trPr>
        <w:tc>
          <w:tcPr>
            <w:tcW w:w="1943" w:type="dxa"/>
            <w:tcBorders>
              <w:top w:val="nil"/>
              <w:left w:val="single" w:color="auto" w:sz="4" w:space="0"/>
              <w:bottom w:val="single" w:color="auto" w:sz="4" w:space="0"/>
              <w:right w:val="single" w:color="auto" w:sz="4" w:space="0"/>
            </w:tcBorders>
            <w:noWrap w:val="0"/>
            <w:vAlign w:val="center"/>
          </w:tcPr>
          <w:p w14:paraId="5FA3F5EC">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电话机</w:t>
            </w:r>
          </w:p>
        </w:tc>
        <w:tc>
          <w:tcPr>
            <w:tcW w:w="990" w:type="dxa"/>
            <w:tcBorders>
              <w:top w:val="single" w:color="auto" w:sz="4" w:space="0"/>
              <w:left w:val="nil"/>
              <w:bottom w:val="single" w:color="auto" w:sz="4" w:space="0"/>
              <w:right w:val="single" w:color="auto" w:sz="4" w:space="0"/>
            </w:tcBorders>
            <w:noWrap w:val="0"/>
            <w:vAlign w:val="center"/>
          </w:tcPr>
          <w:p w14:paraId="10552402">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185" w:type="dxa"/>
            <w:tcBorders>
              <w:top w:val="nil"/>
              <w:left w:val="nil"/>
              <w:bottom w:val="single" w:color="auto" w:sz="4" w:space="0"/>
              <w:right w:val="single" w:color="auto" w:sz="4" w:space="0"/>
            </w:tcBorders>
            <w:noWrap w:val="0"/>
            <w:vAlign w:val="center"/>
          </w:tcPr>
          <w:p w14:paraId="5ABC05A1">
            <w:pPr>
              <w:widowControl/>
              <w:shd w:val="clear" w:color="auto" w:fill="auto"/>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576C9429">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nil"/>
              <w:left w:val="nil"/>
              <w:bottom w:val="single" w:color="auto" w:sz="4" w:space="0"/>
              <w:right w:val="single" w:color="auto" w:sz="4" w:space="0"/>
            </w:tcBorders>
            <w:noWrap w:val="0"/>
            <w:vAlign w:val="center"/>
          </w:tcPr>
          <w:p w14:paraId="2F8AC2CD">
            <w:pPr>
              <w:widowControl/>
              <w:shd w:val="clear" w:color="auto" w:fill="auto"/>
              <w:ind w:firstLine="480"/>
              <w:jc w:val="center"/>
              <w:rPr>
                <w:rFonts w:hint="eastAsia" w:ascii="宋体" w:hAnsi="宋体" w:eastAsia="宋体" w:cs="宋体"/>
                <w:color w:val="auto"/>
                <w:kern w:val="0"/>
                <w:sz w:val="18"/>
                <w:szCs w:val="18"/>
                <w:highlight w:val="none"/>
              </w:rPr>
            </w:pPr>
          </w:p>
        </w:tc>
        <w:tc>
          <w:tcPr>
            <w:tcW w:w="1035" w:type="dxa"/>
            <w:tcBorders>
              <w:top w:val="nil"/>
              <w:left w:val="nil"/>
              <w:bottom w:val="single" w:color="auto" w:sz="4" w:space="0"/>
              <w:right w:val="single" w:color="auto" w:sz="4" w:space="0"/>
            </w:tcBorders>
            <w:noWrap w:val="0"/>
            <w:vAlign w:val="center"/>
          </w:tcPr>
          <w:p w14:paraId="114E3AA9">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73C991B1">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1A894604">
            <w:pPr>
              <w:widowControl/>
              <w:shd w:val="clear" w:color="auto" w:fill="auto"/>
              <w:ind w:firstLine="480"/>
              <w:jc w:val="center"/>
              <w:rPr>
                <w:rFonts w:hint="eastAsia" w:ascii="宋体" w:hAnsi="宋体" w:eastAsia="宋体" w:cs="宋体"/>
                <w:color w:val="auto"/>
                <w:kern w:val="0"/>
                <w:sz w:val="18"/>
                <w:szCs w:val="18"/>
                <w:highlight w:val="none"/>
              </w:rPr>
            </w:pPr>
          </w:p>
        </w:tc>
      </w:tr>
      <w:tr w14:paraId="4EDC62D6">
        <w:tblPrEx>
          <w:tblCellMar>
            <w:top w:w="0" w:type="dxa"/>
            <w:left w:w="108" w:type="dxa"/>
            <w:bottom w:w="0" w:type="dxa"/>
            <w:right w:w="108" w:type="dxa"/>
          </w:tblCellMar>
        </w:tblPrEx>
        <w:trPr>
          <w:trHeight w:val="268" w:hRule="atLeast"/>
          <w:jc w:val="center"/>
        </w:trPr>
        <w:tc>
          <w:tcPr>
            <w:tcW w:w="1943" w:type="dxa"/>
            <w:tcBorders>
              <w:top w:val="nil"/>
              <w:left w:val="single" w:color="auto" w:sz="4" w:space="0"/>
              <w:bottom w:val="single" w:color="auto" w:sz="4" w:space="0"/>
              <w:right w:val="single" w:color="auto" w:sz="4" w:space="0"/>
            </w:tcBorders>
            <w:noWrap w:val="0"/>
            <w:vAlign w:val="center"/>
          </w:tcPr>
          <w:p w14:paraId="0F95F362">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开水房</w:t>
            </w:r>
          </w:p>
        </w:tc>
        <w:tc>
          <w:tcPr>
            <w:tcW w:w="990" w:type="dxa"/>
            <w:tcBorders>
              <w:top w:val="nil"/>
              <w:left w:val="nil"/>
              <w:bottom w:val="single" w:color="auto" w:sz="4" w:space="0"/>
              <w:right w:val="single" w:color="auto" w:sz="4" w:space="0"/>
            </w:tcBorders>
            <w:noWrap w:val="0"/>
            <w:vAlign w:val="center"/>
          </w:tcPr>
          <w:p w14:paraId="19C74672">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185" w:type="dxa"/>
            <w:tcBorders>
              <w:top w:val="nil"/>
              <w:left w:val="nil"/>
              <w:bottom w:val="single" w:color="auto" w:sz="4" w:space="0"/>
              <w:right w:val="single" w:color="auto" w:sz="4" w:space="0"/>
            </w:tcBorders>
            <w:noWrap w:val="0"/>
            <w:vAlign w:val="center"/>
          </w:tcPr>
          <w:p w14:paraId="52CBDB5A">
            <w:pPr>
              <w:widowControl/>
              <w:shd w:val="clear" w:color="auto" w:fill="auto"/>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31E70E95">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nil"/>
              <w:left w:val="nil"/>
              <w:bottom w:val="single" w:color="auto" w:sz="4" w:space="0"/>
              <w:right w:val="single" w:color="auto" w:sz="4" w:space="0"/>
            </w:tcBorders>
            <w:noWrap w:val="0"/>
            <w:vAlign w:val="center"/>
          </w:tcPr>
          <w:p w14:paraId="515F9F91">
            <w:pPr>
              <w:widowControl/>
              <w:shd w:val="clear" w:color="auto" w:fill="auto"/>
              <w:ind w:firstLine="480"/>
              <w:jc w:val="center"/>
              <w:rPr>
                <w:rFonts w:hint="eastAsia" w:ascii="宋体" w:hAnsi="宋体" w:eastAsia="宋体" w:cs="宋体"/>
                <w:color w:val="auto"/>
                <w:kern w:val="0"/>
                <w:sz w:val="18"/>
                <w:szCs w:val="18"/>
                <w:highlight w:val="none"/>
              </w:rPr>
            </w:pPr>
          </w:p>
        </w:tc>
        <w:tc>
          <w:tcPr>
            <w:tcW w:w="1035" w:type="dxa"/>
            <w:tcBorders>
              <w:top w:val="nil"/>
              <w:left w:val="nil"/>
              <w:bottom w:val="single" w:color="auto" w:sz="4" w:space="0"/>
              <w:right w:val="single" w:color="auto" w:sz="4" w:space="0"/>
            </w:tcBorders>
            <w:noWrap w:val="0"/>
            <w:vAlign w:val="center"/>
          </w:tcPr>
          <w:p w14:paraId="060DA21E">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071798D6">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7725A1B4">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14:paraId="6C7AC4F2">
        <w:tblPrEx>
          <w:tblCellMar>
            <w:top w:w="0" w:type="dxa"/>
            <w:left w:w="108" w:type="dxa"/>
            <w:bottom w:w="0" w:type="dxa"/>
            <w:right w:w="108" w:type="dxa"/>
          </w:tblCellMar>
        </w:tblPrEx>
        <w:trPr>
          <w:trHeight w:val="268" w:hRule="atLeast"/>
          <w:jc w:val="center"/>
        </w:trPr>
        <w:tc>
          <w:tcPr>
            <w:tcW w:w="1943" w:type="dxa"/>
            <w:tcBorders>
              <w:top w:val="nil"/>
              <w:left w:val="single" w:color="auto" w:sz="4" w:space="0"/>
              <w:bottom w:val="single" w:color="auto" w:sz="4" w:space="0"/>
              <w:right w:val="single" w:color="auto" w:sz="4" w:space="0"/>
            </w:tcBorders>
            <w:noWrap w:val="0"/>
            <w:vAlign w:val="center"/>
          </w:tcPr>
          <w:p w14:paraId="2AD08076">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空调外机</w:t>
            </w:r>
          </w:p>
        </w:tc>
        <w:tc>
          <w:tcPr>
            <w:tcW w:w="990" w:type="dxa"/>
            <w:tcBorders>
              <w:top w:val="nil"/>
              <w:left w:val="nil"/>
              <w:bottom w:val="single" w:color="auto" w:sz="4" w:space="0"/>
              <w:right w:val="single" w:color="auto" w:sz="4" w:space="0"/>
            </w:tcBorders>
            <w:noWrap w:val="0"/>
            <w:vAlign w:val="center"/>
          </w:tcPr>
          <w:p w14:paraId="2F403FEC">
            <w:pPr>
              <w:widowControl/>
              <w:shd w:val="clear" w:color="auto" w:fill="auto"/>
              <w:jc w:val="center"/>
              <w:rPr>
                <w:rFonts w:hint="eastAsia" w:ascii="宋体" w:hAnsi="宋体" w:eastAsia="宋体" w:cs="宋体"/>
                <w:color w:val="auto"/>
                <w:kern w:val="0"/>
                <w:sz w:val="18"/>
                <w:szCs w:val="18"/>
                <w:highlight w:val="none"/>
              </w:rPr>
            </w:pPr>
          </w:p>
        </w:tc>
        <w:tc>
          <w:tcPr>
            <w:tcW w:w="1185" w:type="dxa"/>
            <w:tcBorders>
              <w:top w:val="nil"/>
              <w:left w:val="nil"/>
              <w:bottom w:val="single" w:color="auto" w:sz="4" w:space="0"/>
              <w:right w:val="single" w:color="auto" w:sz="4" w:space="0"/>
            </w:tcBorders>
            <w:noWrap w:val="0"/>
            <w:vAlign w:val="center"/>
          </w:tcPr>
          <w:p w14:paraId="3419B7D1">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80" w:type="dxa"/>
            <w:tcBorders>
              <w:top w:val="nil"/>
              <w:left w:val="nil"/>
              <w:bottom w:val="single" w:color="auto" w:sz="4" w:space="0"/>
              <w:right w:val="single" w:color="auto" w:sz="4" w:space="0"/>
            </w:tcBorders>
            <w:noWrap w:val="0"/>
            <w:vAlign w:val="center"/>
          </w:tcPr>
          <w:p w14:paraId="2BC25DB8">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nil"/>
              <w:left w:val="nil"/>
              <w:bottom w:val="single" w:color="auto" w:sz="4" w:space="0"/>
              <w:right w:val="single" w:color="auto" w:sz="4" w:space="0"/>
            </w:tcBorders>
            <w:noWrap w:val="0"/>
            <w:vAlign w:val="center"/>
          </w:tcPr>
          <w:p w14:paraId="7972D145">
            <w:pPr>
              <w:widowControl/>
              <w:shd w:val="clear" w:color="auto" w:fill="auto"/>
              <w:ind w:firstLine="480"/>
              <w:jc w:val="center"/>
              <w:rPr>
                <w:rFonts w:hint="eastAsia" w:ascii="宋体" w:hAnsi="宋体" w:eastAsia="宋体" w:cs="宋体"/>
                <w:color w:val="auto"/>
                <w:kern w:val="0"/>
                <w:sz w:val="18"/>
                <w:szCs w:val="18"/>
                <w:highlight w:val="none"/>
              </w:rPr>
            </w:pPr>
          </w:p>
        </w:tc>
        <w:tc>
          <w:tcPr>
            <w:tcW w:w="1035" w:type="dxa"/>
            <w:tcBorders>
              <w:top w:val="nil"/>
              <w:left w:val="nil"/>
              <w:bottom w:val="single" w:color="auto" w:sz="4" w:space="0"/>
              <w:right w:val="single" w:color="auto" w:sz="4" w:space="0"/>
            </w:tcBorders>
            <w:noWrap w:val="0"/>
            <w:vAlign w:val="center"/>
          </w:tcPr>
          <w:p w14:paraId="1CD3BCE5">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0BE68B1C">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37A9297D">
            <w:pPr>
              <w:widowControl/>
              <w:shd w:val="clear" w:color="auto" w:fill="auto"/>
              <w:ind w:firstLine="480"/>
              <w:jc w:val="center"/>
              <w:rPr>
                <w:rFonts w:hint="eastAsia" w:ascii="宋体" w:hAnsi="宋体" w:eastAsia="宋体" w:cs="宋体"/>
                <w:color w:val="auto"/>
                <w:kern w:val="0"/>
                <w:sz w:val="18"/>
                <w:szCs w:val="18"/>
                <w:highlight w:val="none"/>
              </w:rPr>
            </w:pPr>
          </w:p>
        </w:tc>
      </w:tr>
      <w:tr w14:paraId="13877FCB">
        <w:tblPrEx>
          <w:tblCellMar>
            <w:top w:w="0" w:type="dxa"/>
            <w:left w:w="108" w:type="dxa"/>
            <w:bottom w:w="0" w:type="dxa"/>
            <w:right w:w="108" w:type="dxa"/>
          </w:tblCellMar>
        </w:tblPrEx>
        <w:trPr>
          <w:trHeight w:val="786" w:hRule="atLeast"/>
          <w:jc w:val="center"/>
        </w:trPr>
        <w:tc>
          <w:tcPr>
            <w:tcW w:w="1943" w:type="dxa"/>
            <w:tcBorders>
              <w:top w:val="nil"/>
              <w:left w:val="single" w:color="auto" w:sz="4" w:space="0"/>
              <w:bottom w:val="single" w:color="auto" w:sz="4" w:space="0"/>
              <w:right w:val="single" w:color="auto" w:sz="4" w:space="0"/>
            </w:tcBorders>
            <w:noWrap w:val="0"/>
            <w:vAlign w:val="center"/>
          </w:tcPr>
          <w:p w14:paraId="52215372">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大理石花岗石墙面柱面（2米以下）</w:t>
            </w:r>
          </w:p>
        </w:tc>
        <w:tc>
          <w:tcPr>
            <w:tcW w:w="990" w:type="dxa"/>
            <w:tcBorders>
              <w:top w:val="nil"/>
              <w:left w:val="nil"/>
              <w:bottom w:val="single" w:color="auto" w:sz="4" w:space="0"/>
              <w:right w:val="single" w:color="auto" w:sz="4" w:space="0"/>
            </w:tcBorders>
            <w:noWrap w:val="0"/>
            <w:vAlign w:val="center"/>
          </w:tcPr>
          <w:p w14:paraId="34B666C3">
            <w:pPr>
              <w:widowControl/>
              <w:shd w:val="clear" w:color="auto" w:fill="auto"/>
              <w:jc w:val="center"/>
              <w:rPr>
                <w:rFonts w:hint="eastAsia" w:ascii="宋体" w:hAnsi="宋体" w:eastAsia="宋体" w:cs="宋体"/>
                <w:color w:val="auto"/>
                <w:kern w:val="0"/>
                <w:sz w:val="18"/>
                <w:szCs w:val="18"/>
                <w:highlight w:val="none"/>
              </w:rPr>
            </w:pPr>
          </w:p>
        </w:tc>
        <w:tc>
          <w:tcPr>
            <w:tcW w:w="1185" w:type="dxa"/>
            <w:tcBorders>
              <w:top w:val="nil"/>
              <w:left w:val="nil"/>
              <w:bottom w:val="single" w:color="auto" w:sz="4" w:space="0"/>
              <w:right w:val="single" w:color="auto" w:sz="4" w:space="0"/>
            </w:tcBorders>
            <w:noWrap w:val="0"/>
            <w:vAlign w:val="center"/>
          </w:tcPr>
          <w:p w14:paraId="65B7D8AC">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80" w:type="dxa"/>
            <w:tcBorders>
              <w:top w:val="nil"/>
              <w:left w:val="nil"/>
              <w:bottom w:val="single" w:color="auto" w:sz="4" w:space="0"/>
              <w:right w:val="single" w:color="auto" w:sz="4" w:space="0"/>
            </w:tcBorders>
            <w:noWrap w:val="0"/>
            <w:vAlign w:val="center"/>
          </w:tcPr>
          <w:p w14:paraId="58FAAF69">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nil"/>
              <w:left w:val="nil"/>
              <w:bottom w:val="single" w:color="auto" w:sz="4" w:space="0"/>
              <w:right w:val="single" w:color="auto" w:sz="4" w:space="0"/>
            </w:tcBorders>
            <w:noWrap w:val="0"/>
            <w:vAlign w:val="center"/>
          </w:tcPr>
          <w:p w14:paraId="2E719E92">
            <w:pPr>
              <w:widowControl/>
              <w:shd w:val="clear" w:color="auto" w:fill="auto"/>
              <w:ind w:firstLine="480"/>
              <w:jc w:val="center"/>
              <w:rPr>
                <w:rFonts w:hint="eastAsia" w:ascii="宋体" w:hAnsi="宋体" w:eastAsia="宋体" w:cs="宋体"/>
                <w:color w:val="auto"/>
                <w:kern w:val="0"/>
                <w:sz w:val="18"/>
                <w:szCs w:val="18"/>
                <w:highlight w:val="none"/>
              </w:rPr>
            </w:pPr>
          </w:p>
        </w:tc>
        <w:tc>
          <w:tcPr>
            <w:tcW w:w="1035" w:type="dxa"/>
            <w:tcBorders>
              <w:top w:val="nil"/>
              <w:left w:val="nil"/>
              <w:bottom w:val="single" w:color="auto" w:sz="4" w:space="0"/>
              <w:right w:val="single" w:color="auto" w:sz="4" w:space="0"/>
            </w:tcBorders>
            <w:noWrap w:val="0"/>
            <w:vAlign w:val="center"/>
          </w:tcPr>
          <w:p w14:paraId="08172BD6">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64A468D5">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096FE1B8">
            <w:pPr>
              <w:widowControl/>
              <w:shd w:val="clear" w:color="auto" w:fill="auto"/>
              <w:ind w:firstLine="480"/>
              <w:jc w:val="center"/>
              <w:rPr>
                <w:rFonts w:hint="eastAsia" w:ascii="宋体" w:hAnsi="宋体" w:eastAsia="宋体" w:cs="宋体"/>
                <w:color w:val="auto"/>
                <w:kern w:val="0"/>
                <w:sz w:val="18"/>
                <w:szCs w:val="18"/>
                <w:highlight w:val="none"/>
              </w:rPr>
            </w:pPr>
          </w:p>
        </w:tc>
      </w:tr>
      <w:tr w14:paraId="5F9DB74C">
        <w:tblPrEx>
          <w:tblCellMar>
            <w:top w:w="0" w:type="dxa"/>
            <w:left w:w="108" w:type="dxa"/>
            <w:bottom w:w="0" w:type="dxa"/>
            <w:right w:w="108" w:type="dxa"/>
          </w:tblCellMar>
        </w:tblPrEx>
        <w:trPr>
          <w:trHeight w:val="527" w:hRule="atLeast"/>
          <w:jc w:val="center"/>
        </w:trPr>
        <w:tc>
          <w:tcPr>
            <w:tcW w:w="1943" w:type="dxa"/>
            <w:tcBorders>
              <w:top w:val="nil"/>
              <w:left w:val="single" w:color="auto" w:sz="4" w:space="0"/>
              <w:bottom w:val="single" w:color="auto" w:sz="4" w:space="0"/>
              <w:right w:val="single" w:color="auto" w:sz="4" w:space="0"/>
            </w:tcBorders>
            <w:noWrap w:val="0"/>
            <w:vAlign w:val="center"/>
          </w:tcPr>
          <w:p w14:paraId="39CAB5D1">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玻璃墙面金属框架</w:t>
            </w:r>
          </w:p>
        </w:tc>
        <w:tc>
          <w:tcPr>
            <w:tcW w:w="990" w:type="dxa"/>
            <w:tcBorders>
              <w:top w:val="nil"/>
              <w:left w:val="nil"/>
              <w:bottom w:val="single" w:color="auto" w:sz="4" w:space="0"/>
              <w:right w:val="single" w:color="auto" w:sz="4" w:space="0"/>
            </w:tcBorders>
            <w:noWrap w:val="0"/>
            <w:vAlign w:val="center"/>
          </w:tcPr>
          <w:p w14:paraId="52F74896">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1185" w:type="dxa"/>
            <w:tcBorders>
              <w:top w:val="nil"/>
              <w:left w:val="nil"/>
              <w:bottom w:val="single" w:color="auto" w:sz="4" w:space="0"/>
              <w:right w:val="single" w:color="auto" w:sz="4" w:space="0"/>
            </w:tcBorders>
            <w:noWrap w:val="0"/>
            <w:vAlign w:val="center"/>
          </w:tcPr>
          <w:p w14:paraId="627340C4">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80" w:type="dxa"/>
            <w:tcBorders>
              <w:top w:val="nil"/>
              <w:left w:val="nil"/>
              <w:bottom w:val="single" w:color="auto" w:sz="4" w:space="0"/>
              <w:right w:val="single" w:color="auto" w:sz="4" w:space="0"/>
            </w:tcBorders>
            <w:noWrap w:val="0"/>
            <w:vAlign w:val="center"/>
          </w:tcPr>
          <w:p w14:paraId="7E5C1E03">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nil"/>
              <w:left w:val="nil"/>
              <w:bottom w:val="nil"/>
              <w:right w:val="nil"/>
            </w:tcBorders>
            <w:noWrap w:val="0"/>
            <w:vAlign w:val="center"/>
          </w:tcPr>
          <w:p w14:paraId="0AD33C19">
            <w:pPr>
              <w:widowControl/>
              <w:shd w:val="clear" w:color="auto" w:fill="auto"/>
              <w:ind w:firstLine="480"/>
              <w:jc w:val="center"/>
              <w:rPr>
                <w:rFonts w:hint="eastAsia" w:ascii="宋体" w:hAnsi="宋体" w:eastAsia="宋体" w:cs="宋体"/>
                <w:color w:val="auto"/>
                <w:kern w:val="0"/>
                <w:sz w:val="18"/>
                <w:szCs w:val="18"/>
                <w:highlight w:val="none"/>
              </w:rPr>
            </w:pPr>
          </w:p>
        </w:tc>
        <w:tc>
          <w:tcPr>
            <w:tcW w:w="1035" w:type="dxa"/>
            <w:tcBorders>
              <w:top w:val="nil"/>
              <w:left w:val="single" w:color="auto" w:sz="4" w:space="0"/>
              <w:bottom w:val="single" w:color="auto" w:sz="4" w:space="0"/>
              <w:right w:val="single" w:color="auto" w:sz="4" w:space="0"/>
            </w:tcBorders>
            <w:noWrap w:val="0"/>
            <w:vAlign w:val="center"/>
          </w:tcPr>
          <w:p w14:paraId="67E4FC0D">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3D808F40">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28C65465">
            <w:pPr>
              <w:widowControl/>
              <w:shd w:val="clear" w:color="auto" w:fill="auto"/>
              <w:ind w:firstLine="480"/>
              <w:jc w:val="center"/>
              <w:rPr>
                <w:rFonts w:hint="eastAsia" w:ascii="宋体" w:hAnsi="宋体" w:eastAsia="宋体" w:cs="宋体"/>
                <w:color w:val="auto"/>
                <w:kern w:val="0"/>
                <w:sz w:val="18"/>
                <w:szCs w:val="18"/>
                <w:highlight w:val="none"/>
              </w:rPr>
            </w:pPr>
          </w:p>
        </w:tc>
      </w:tr>
      <w:tr w14:paraId="485E2203">
        <w:tblPrEx>
          <w:tblCellMar>
            <w:top w:w="0" w:type="dxa"/>
            <w:left w:w="108" w:type="dxa"/>
            <w:bottom w:w="0" w:type="dxa"/>
            <w:right w:w="108" w:type="dxa"/>
          </w:tblCellMar>
        </w:tblPrEx>
        <w:trPr>
          <w:trHeight w:val="268" w:hRule="atLeast"/>
          <w:jc w:val="center"/>
        </w:trPr>
        <w:tc>
          <w:tcPr>
            <w:tcW w:w="1943" w:type="dxa"/>
            <w:tcBorders>
              <w:top w:val="nil"/>
              <w:left w:val="single" w:color="auto" w:sz="4" w:space="0"/>
              <w:bottom w:val="single" w:color="auto" w:sz="4" w:space="0"/>
              <w:right w:val="single" w:color="auto" w:sz="4" w:space="0"/>
            </w:tcBorders>
            <w:noWrap w:val="0"/>
            <w:vAlign w:val="center"/>
          </w:tcPr>
          <w:p w14:paraId="19DB66FE">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不锈钢面</w:t>
            </w:r>
          </w:p>
        </w:tc>
        <w:tc>
          <w:tcPr>
            <w:tcW w:w="990" w:type="dxa"/>
            <w:tcBorders>
              <w:top w:val="nil"/>
              <w:left w:val="nil"/>
              <w:bottom w:val="single" w:color="auto" w:sz="4" w:space="0"/>
              <w:right w:val="single" w:color="auto" w:sz="4" w:space="0"/>
            </w:tcBorders>
            <w:noWrap w:val="0"/>
            <w:vAlign w:val="center"/>
          </w:tcPr>
          <w:p w14:paraId="6BA955F4">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185" w:type="dxa"/>
            <w:tcBorders>
              <w:top w:val="nil"/>
              <w:left w:val="nil"/>
              <w:bottom w:val="single" w:color="auto" w:sz="4" w:space="0"/>
              <w:right w:val="single" w:color="auto" w:sz="4" w:space="0"/>
            </w:tcBorders>
            <w:noWrap w:val="0"/>
            <w:vAlign w:val="center"/>
          </w:tcPr>
          <w:p w14:paraId="12884E37">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21DE071C">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single" w:color="auto" w:sz="4" w:space="0"/>
              <w:left w:val="nil"/>
              <w:bottom w:val="single" w:color="auto" w:sz="4" w:space="0"/>
              <w:right w:val="single" w:color="auto" w:sz="4" w:space="0"/>
            </w:tcBorders>
            <w:noWrap w:val="0"/>
            <w:vAlign w:val="center"/>
          </w:tcPr>
          <w:p w14:paraId="23B17724">
            <w:pPr>
              <w:widowControl/>
              <w:shd w:val="clear" w:color="auto" w:fill="auto"/>
              <w:ind w:firstLine="480"/>
              <w:jc w:val="center"/>
              <w:rPr>
                <w:rFonts w:hint="eastAsia" w:ascii="宋体" w:hAnsi="宋体" w:eastAsia="宋体" w:cs="宋体"/>
                <w:color w:val="auto"/>
                <w:kern w:val="0"/>
                <w:sz w:val="18"/>
                <w:szCs w:val="18"/>
                <w:highlight w:val="none"/>
              </w:rPr>
            </w:pPr>
          </w:p>
        </w:tc>
        <w:tc>
          <w:tcPr>
            <w:tcW w:w="1035" w:type="dxa"/>
            <w:tcBorders>
              <w:top w:val="nil"/>
              <w:left w:val="nil"/>
              <w:bottom w:val="single" w:color="auto" w:sz="4" w:space="0"/>
              <w:right w:val="single" w:color="auto" w:sz="4" w:space="0"/>
            </w:tcBorders>
            <w:noWrap w:val="0"/>
            <w:vAlign w:val="center"/>
          </w:tcPr>
          <w:p w14:paraId="477CF536">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6724D6E4">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097CD613">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14:paraId="634726C8">
        <w:tblPrEx>
          <w:tblCellMar>
            <w:top w:w="0" w:type="dxa"/>
            <w:left w:w="108" w:type="dxa"/>
            <w:bottom w:w="0" w:type="dxa"/>
            <w:right w:w="108" w:type="dxa"/>
          </w:tblCellMar>
        </w:tblPrEx>
        <w:trPr>
          <w:trHeight w:val="268" w:hRule="atLeast"/>
          <w:jc w:val="center"/>
        </w:trPr>
        <w:tc>
          <w:tcPr>
            <w:tcW w:w="1943" w:type="dxa"/>
            <w:tcBorders>
              <w:top w:val="nil"/>
              <w:left w:val="single" w:color="auto" w:sz="4" w:space="0"/>
              <w:bottom w:val="single" w:color="auto" w:sz="4" w:space="0"/>
              <w:right w:val="single" w:color="auto" w:sz="4" w:space="0"/>
            </w:tcBorders>
            <w:noWrap w:val="0"/>
            <w:vAlign w:val="center"/>
          </w:tcPr>
          <w:p w14:paraId="13D248EE">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地面清洗抛光</w:t>
            </w:r>
          </w:p>
        </w:tc>
        <w:tc>
          <w:tcPr>
            <w:tcW w:w="990" w:type="dxa"/>
            <w:tcBorders>
              <w:top w:val="nil"/>
              <w:left w:val="nil"/>
              <w:bottom w:val="single" w:color="auto" w:sz="4" w:space="0"/>
              <w:right w:val="single" w:color="auto" w:sz="4" w:space="0"/>
            </w:tcBorders>
            <w:noWrap w:val="0"/>
            <w:vAlign w:val="center"/>
          </w:tcPr>
          <w:p w14:paraId="4DCCEDF5">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1185" w:type="dxa"/>
            <w:tcBorders>
              <w:top w:val="nil"/>
              <w:left w:val="nil"/>
              <w:bottom w:val="single" w:color="auto" w:sz="4" w:space="0"/>
              <w:right w:val="single" w:color="auto" w:sz="4" w:space="0"/>
            </w:tcBorders>
            <w:noWrap w:val="0"/>
            <w:vAlign w:val="center"/>
          </w:tcPr>
          <w:p w14:paraId="69101AD5">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35686329">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nil"/>
              <w:left w:val="nil"/>
              <w:bottom w:val="single" w:color="auto" w:sz="4" w:space="0"/>
              <w:right w:val="single" w:color="auto" w:sz="4" w:space="0"/>
            </w:tcBorders>
            <w:noWrap w:val="0"/>
            <w:vAlign w:val="center"/>
          </w:tcPr>
          <w:p w14:paraId="24236295">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035" w:type="dxa"/>
            <w:tcBorders>
              <w:top w:val="nil"/>
              <w:left w:val="nil"/>
              <w:bottom w:val="single" w:color="auto" w:sz="4" w:space="0"/>
              <w:right w:val="single" w:color="auto" w:sz="4" w:space="0"/>
            </w:tcBorders>
            <w:noWrap w:val="0"/>
            <w:vAlign w:val="center"/>
          </w:tcPr>
          <w:p w14:paraId="28A0B080">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55562FC9">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653FB03C">
            <w:pPr>
              <w:widowControl/>
              <w:shd w:val="clear" w:color="auto" w:fill="auto"/>
              <w:ind w:firstLine="480"/>
              <w:jc w:val="center"/>
              <w:rPr>
                <w:rFonts w:hint="eastAsia" w:ascii="宋体" w:hAnsi="宋体" w:eastAsia="宋体" w:cs="宋体"/>
                <w:color w:val="auto"/>
                <w:kern w:val="0"/>
                <w:sz w:val="18"/>
                <w:szCs w:val="18"/>
                <w:highlight w:val="none"/>
              </w:rPr>
            </w:pPr>
          </w:p>
        </w:tc>
      </w:tr>
      <w:tr w14:paraId="4430FDFA">
        <w:tblPrEx>
          <w:tblCellMar>
            <w:top w:w="0" w:type="dxa"/>
            <w:left w:w="108" w:type="dxa"/>
            <w:bottom w:w="0" w:type="dxa"/>
            <w:right w:w="108" w:type="dxa"/>
          </w:tblCellMar>
        </w:tblPrEx>
        <w:trPr>
          <w:trHeight w:val="268" w:hRule="atLeast"/>
          <w:jc w:val="center"/>
        </w:trPr>
        <w:tc>
          <w:tcPr>
            <w:tcW w:w="1943" w:type="dxa"/>
            <w:tcBorders>
              <w:top w:val="nil"/>
              <w:left w:val="single" w:color="auto" w:sz="4" w:space="0"/>
              <w:bottom w:val="single" w:color="auto" w:sz="4" w:space="0"/>
              <w:right w:val="single" w:color="auto" w:sz="4" w:space="0"/>
            </w:tcBorders>
            <w:noWrap w:val="0"/>
            <w:vAlign w:val="center"/>
          </w:tcPr>
          <w:p w14:paraId="2946E064">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地毯</w:t>
            </w:r>
          </w:p>
        </w:tc>
        <w:tc>
          <w:tcPr>
            <w:tcW w:w="990" w:type="dxa"/>
            <w:tcBorders>
              <w:top w:val="nil"/>
              <w:left w:val="nil"/>
              <w:bottom w:val="single" w:color="auto" w:sz="4" w:space="0"/>
              <w:right w:val="single" w:color="auto" w:sz="4" w:space="0"/>
            </w:tcBorders>
            <w:noWrap w:val="0"/>
            <w:vAlign w:val="center"/>
          </w:tcPr>
          <w:p w14:paraId="231F573F">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185" w:type="dxa"/>
            <w:tcBorders>
              <w:top w:val="nil"/>
              <w:left w:val="nil"/>
              <w:bottom w:val="single" w:color="auto" w:sz="4" w:space="0"/>
              <w:right w:val="single" w:color="auto" w:sz="4" w:space="0"/>
            </w:tcBorders>
            <w:noWrap w:val="0"/>
            <w:vAlign w:val="center"/>
          </w:tcPr>
          <w:p w14:paraId="33F8FF2B">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232E96F9">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nil"/>
              <w:left w:val="nil"/>
              <w:bottom w:val="single" w:color="auto" w:sz="4" w:space="0"/>
              <w:right w:val="single" w:color="auto" w:sz="4" w:space="0"/>
            </w:tcBorders>
            <w:noWrap w:val="0"/>
            <w:vAlign w:val="center"/>
          </w:tcPr>
          <w:p w14:paraId="4633AEFA">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035" w:type="dxa"/>
            <w:tcBorders>
              <w:top w:val="nil"/>
              <w:left w:val="nil"/>
              <w:bottom w:val="single" w:color="auto" w:sz="4" w:space="0"/>
              <w:right w:val="single" w:color="auto" w:sz="4" w:space="0"/>
            </w:tcBorders>
            <w:noWrap w:val="0"/>
            <w:vAlign w:val="center"/>
          </w:tcPr>
          <w:p w14:paraId="15E6BF13">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3F05FD76">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1E1057FB">
            <w:pPr>
              <w:widowControl/>
              <w:shd w:val="clear" w:color="auto" w:fill="auto"/>
              <w:ind w:firstLine="480"/>
              <w:jc w:val="center"/>
              <w:rPr>
                <w:rFonts w:hint="eastAsia" w:ascii="宋体" w:hAnsi="宋体" w:eastAsia="宋体" w:cs="宋体"/>
                <w:color w:val="auto"/>
                <w:kern w:val="0"/>
                <w:sz w:val="18"/>
                <w:szCs w:val="18"/>
                <w:highlight w:val="none"/>
              </w:rPr>
            </w:pPr>
          </w:p>
        </w:tc>
      </w:tr>
      <w:tr w14:paraId="45A6EF4D">
        <w:tblPrEx>
          <w:tblCellMar>
            <w:top w:w="0" w:type="dxa"/>
            <w:left w:w="108" w:type="dxa"/>
            <w:bottom w:w="0" w:type="dxa"/>
            <w:right w:w="108" w:type="dxa"/>
          </w:tblCellMar>
        </w:tblPrEx>
        <w:trPr>
          <w:trHeight w:val="527" w:hRule="atLeast"/>
          <w:jc w:val="center"/>
        </w:trPr>
        <w:tc>
          <w:tcPr>
            <w:tcW w:w="1943" w:type="dxa"/>
            <w:tcBorders>
              <w:top w:val="nil"/>
              <w:left w:val="single" w:color="auto" w:sz="4" w:space="0"/>
              <w:bottom w:val="single" w:color="auto" w:sz="4" w:space="0"/>
              <w:right w:val="single" w:color="auto" w:sz="4" w:space="0"/>
            </w:tcBorders>
            <w:noWrap w:val="0"/>
            <w:vAlign w:val="center"/>
          </w:tcPr>
          <w:p w14:paraId="02B21E11">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通风口灯具饰物</w:t>
            </w:r>
          </w:p>
        </w:tc>
        <w:tc>
          <w:tcPr>
            <w:tcW w:w="990" w:type="dxa"/>
            <w:tcBorders>
              <w:top w:val="nil"/>
              <w:left w:val="nil"/>
              <w:bottom w:val="single" w:color="auto" w:sz="4" w:space="0"/>
              <w:right w:val="single" w:color="auto" w:sz="4" w:space="0"/>
            </w:tcBorders>
            <w:noWrap w:val="0"/>
            <w:vAlign w:val="center"/>
          </w:tcPr>
          <w:p w14:paraId="299FC6CE">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1185" w:type="dxa"/>
            <w:tcBorders>
              <w:top w:val="nil"/>
              <w:left w:val="nil"/>
              <w:bottom w:val="single" w:color="auto" w:sz="4" w:space="0"/>
              <w:right w:val="single" w:color="auto" w:sz="4" w:space="0"/>
            </w:tcBorders>
            <w:noWrap w:val="0"/>
            <w:vAlign w:val="center"/>
          </w:tcPr>
          <w:p w14:paraId="69A7BE9A">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74DC0A7D">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nil"/>
              <w:left w:val="nil"/>
              <w:bottom w:val="single" w:color="auto" w:sz="4" w:space="0"/>
              <w:right w:val="single" w:color="auto" w:sz="4" w:space="0"/>
            </w:tcBorders>
            <w:noWrap w:val="0"/>
            <w:vAlign w:val="center"/>
          </w:tcPr>
          <w:p w14:paraId="1783FE0B">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1035" w:type="dxa"/>
            <w:tcBorders>
              <w:top w:val="nil"/>
              <w:left w:val="nil"/>
              <w:bottom w:val="single" w:color="auto" w:sz="4" w:space="0"/>
              <w:right w:val="single" w:color="auto" w:sz="4" w:space="0"/>
            </w:tcBorders>
            <w:noWrap w:val="0"/>
            <w:vAlign w:val="center"/>
          </w:tcPr>
          <w:p w14:paraId="2510ED69">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526E430D">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630750B4">
            <w:pPr>
              <w:widowControl/>
              <w:shd w:val="clear" w:color="auto" w:fill="auto"/>
              <w:ind w:firstLine="480"/>
              <w:jc w:val="center"/>
              <w:rPr>
                <w:rFonts w:hint="eastAsia" w:ascii="宋体" w:hAnsi="宋体" w:eastAsia="宋体" w:cs="宋体"/>
                <w:color w:val="auto"/>
                <w:kern w:val="0"/>
                <w:sz w:val="18"/>
                <w:szCs w:val="18"/>
                <w:highlight w:val="none"/>
              </w:rPr>
            </w:pPr>
          </w:p>
        </w:tc>
      </w:tr>
      <w:tr w14:paraId="693FBE9C">
        <w:tblPrEx>
          <w:tblCellMar>
            <w:top w:w="0" w:type="dxa"/>
            <w:left w:w="108" w:type="dxa"/>
            <w:bottom w:w="0" w:type="dxa"/>
            <w:right w:w="108" w:type="dxa"/>
          </w:tblCellMar>
        </w:tblPrEx>
        <w:trPr>
          <w:trHeight w:val="268" w:hRule="atLeast"/>
          <w:jc w:val="center"/>
        </w:trPr>
        <w:tc>
          <w:tcPr>
            <w:tcW w:w="1943" w:type="dxa"/>
            <w:tcBorders>
              <w:top w:val="nil"/>
              <w:left w:val="single" w:color="auto" w:sz="4" w:space="0"/>
              <w:bottom w:val="single" w:color="auto" w:sz="4" w:space="0"/>
              <w:right w:val="single" w:color="auto" w:sz="4" w:space="0"/>
            </w:tcBorders>
            <w:noWrap w:val="0"/>
            <w:vAlign w:val="center"/>
          </w:tcPr>
          <w:p w14:paraId="3170781E">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绿化、指示牌等</w:t>
            </w:r>
          </w:p>
        </w:tc>
        <w:tc>
          <w:tcPr>
            <w:tcW w:w="990" w:type="dxa"/>
            <w:tcBorders>
              <w:top w:val="nil"/>
              <w:left w:val="nil"/>
              <w:bottom w:val="single" w:color="auto" w:sz="4" w:space="0"/>
              <w:right w:val="single" w:color="auto" w:sz="4" w:space="0"/>
            </w:tcBorders>
            <w:noWrap w:val="0"/>
            <w:vAlign w:val="center"/>
          </w:tcPr>
          <w:p w14:paraId="36A1D79B">
            <w:pPr>
              <w:widowControl/>
              <w:shd w:val="clear" w:color="auto" w:fill="auto"/>
              <w:ind w:firstLine="149" w:firstLineChars="83"/>
              <w:jc w:val="center"/>
              <w:rPr>
                <w:rFonts w:hint="eastAsia" w:ascii="宋体" w:hAnsi="宋体" w:eastAsia="宋体" w:cs="宋体"/>
                <w:color w:val="auto"/>
                <w:kern w:val="0"/>
                <w:sz w:val="18"/>
                <w:szCs w:val="18"/>
                <w:highlight w:val="none"/>
              </w:rPr>
            </w:pPr>
          </w:p>
        </w:tc>
        <w:tc>
          <w:tcPr>
            <w:tcW w:w="1185" w:type="dxa"/>
            <w:tcBorders>
              <w:top w:val="nil"/>
              <w:left w:val="nil"/>
              <w:bottom w:val="single" w:color="auto" w:sz="4" w:space="0"/>
              <w:right w:val="single" w:color="auto" w:sz="4" w:space="0"/>
            </w:tcBorders>
            <w:noWrap w:val="0"/>
            <w:vAlign w:val="center"/>
          </w:tcPr>
          <w:p w14:paraId="208AA9E3">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80" w:type="dxa"/>
            <w:tcBorders>
              <w:top w:val="nil"/>
              <w:left w:val="nil"/>
              <w:bottom w:val="single" w:color="auto" w:sz="4" w:space="0"/>
              <w:right w:val="single" w:color="auto" w:sz="4" w:space="0"/>
            </w:tcBorders>
            <w:noWrap w:val="0"/>
            <w:vAlign w:val="center"/>
          </w:tcPr>
          <w:p w14:paraId="1FAC8D52">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nil"/>
              <w:left w:val="nil"/>
              <w:bottom w:val="single" w:color="auto" w:sz="4" w:space="0"/>
              <w:right w:val="single" w:color="auto" w:sz="4" w:space="0"/>
            </w:tcBorders>
            <w:noWrap w:val="0"/>
            <w:vAlign w:val="center"/>
          </w:tcPr>
          <w:p w14:paraId="319F45F2">
            <w:pPr>
              <w:widowControl/>
              <w:shd w:val="clear" w:color="auto" w:fill="auto"/>
              <w:ind w:firstLine="480"/>
              <w:jc w:val="center"/>
              <w:rPr>
                <w:rFonts w:hint="eastAsia" w:ascii="宋体" w:hAnsi="宋体" w:eastAsia="宋体" w:cs="宋体"/>
                <w:color w:val="auto"/>
                <w:kern w:val="0"/>
                <w:sz w:val="18"/>
                <w:szCs w:val="18"/>
                <w:highlight w:val="none"/>
              </w:rPr>
            </w:pPr>
          </w:p>
        </w:tc>
        <w:tc>
          <w:tcPr>
            <w:tcW w:w="1035" w:type="dxa"/>
            <w:tcBorders>
              <w:top w:val="nil"/>
              <w:left w:val="nil"/>
              <w:bottom w:val="single" w:color="auto" w:sz="4" w:space="0"/>
              <w:right w:val="single" w:color="auto" w:sz="4" w:space="0"/>
            </w:tcBorders>
            <w:noWrap w:val="0"/>
            <w:vAlign w:val="center"/>
          </w:tcPr>
          <w:p w14:paraId="0E4F848D">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48CD47CE">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13ECD53B">
            <w:pPr>
              <w:widowControl/>
              <w:shd w:val="clear" w:color="auto" w:fill="auto"/>
              <w:ind w:firstLine="480"/>
              <w:jc w:val="center"/>
              <w:rPr>
                <w:rFonts w:hint="eastAsia" w:ascii="宋体" w:hAnsi="宋体" w:eastAsia="宋体" w:cs="宋体"/>
                <w:color w:val="auto"/>
                <w:kern w:val="0"/>
                <w:sz w:val="18"/>
                <w:szCs w:val="18"/>
                <w:highlight w:val="none"/>
              </w:rPr>
            </w:pPr>
          </w:p>
        </w:tc>
      </w:tr>
      <w:tr w14:paraId="76B3B2A1">
        <w:tblPrEx>
          <w:tblCellMar>
            <w:top w:w="0" w:type="dxa"/>
            <w:left w:w="108" w:type="dxa"/>
            <w:bottom w:w="0" w:type="dxa"/>
            <w:right w:w="108" w:type="dxa"/>
          </w:tblCellMar>
        </w:tblPrEx>
        <w:trPr>
          <w:trHeight w:val="527" w:hRule="atLeast"/>
          <w:jc w:val="center"/>
        </w:trPr>
        <w:tc>
          <w:tcPr>
            <w:tcW w:w="1943" w:type="dxa"/>
            <w:tcBorders>
              <w:top w:val="nil"/>
              <w:left w:val="single" w:color="auto" w:sz="4" w:space="0"/>
              <w:bottom w:val="single" w:color="auto" w:sz="4" w:space="0"/>
              <w:right w:val="single" w:color="auto" w:sz="4" w:space="0"/>
            </w:tcBorders>
            <w:noWrap w:val="0"/>
            <w:vAlign w:val="center"/>
          </w:tcPr>
          <w:p w14:paraId="5322622A">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垃圾收集、清扫地面</w:t>
            </w:r>
          </w:p>
        </w:tc>
        <w:tc>
          <w:tcPr>
            <w:tcW w:w="990" w:type="dxa"/>
            <w:tcBorders>
              <w:top w:val="nil"/>
              <w:left w:val="nil"/>
              <w:bottom w:val="single" w:color="auto" w:sz="4" w:space="0"/>
              <w:right w:val="single" w:color="auto" w:sz="4" w:space="0"/>
            </w:tcBorders>
            <w:noWrap w:val="0"/>
            <w:vAlign w:val="center"/>
          </w:tcPr>
          <w:p w14:paraId="791F7F6E">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185" w:type="dxa"/>
            <w:tcBorders>
              <w:top w:val="nil"/>
              <w:left w:val="nil"/>
              <w:bottom w:val="single" w:color="auto" w:sz="4" w:space="0"/>
              <w:right w:val="single" w:color="auto" w:sz="4" w:space="0"/>
            </w:tcBorders>
            <w:noWrap w:val="0"/>
            <w:vAlign w:val="center"/>
          </w:tcPr>
          <w:p w14:paraId="399942ED">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7E10D9E0">
            <w:pPr>
              <w:widowControl/>
              <w:shd w:val="clear" w:color="auto" w:fill="auto"/>
              <w:ind w:firstLine="480"/>
              <w:jc w:val="center"/>
              <w:rPr>
                <w:rFonts w:hint="eastAsia" w:ascii="宋体" w:hAnsi="宋体" w:eastAsia="宋体" w:cs="宋体"/>
                <w:color w:val="auto"/>
                <w:kern w:val="0"/>
                <w:sz w:val="18"/>
                <w:szCs w:val="18"/>
                <w:highlight w:val="none"/>
              </w:rPr>
            </w:pPr>
          </w:p>
        </w:tc>
        <w:tc>
          <w:tcPr>
            <w:tcW w:w="990" w:type="dxa"/>
            <w:tcBorders>
              <w:top w:val="nil"/>
              <w:left w:val="nil"/>
              <w:bottom w:val="single" w:color="auto" w:sz="4" w:space="0"/>
              <w:right w:val="single" w:color="auto" w:sz="4" w:space="0"/>
            </w:tcBorders>
            <w:noWrap w:val="0"/>
            <w:vAlign w:val="center"/>
          </w:tcPr>
          <w:p w14:paraId="112DDC57">
            <w:pPr>
              <w:widowControl/>
              <w:shd w:val="clear" w:color="auto" w:fill="auto"/>
              <w:ind w:firstLine="480"/>
              <w:jc w:val="center"/>
              <w:rPr>
                <w:rFonts w:hint="eastAsia" w:ascii="宋体" w:hAnsi="宋体" w:eastAsia="宋体" w:cs="宋体"/>
                <w:color w:val="auto"/>
                <w:kern w:val="0"/>
                <w:sz w:val="18"/>
                <w:szCs w:val="18"/>
                <w:highlight w:val="none"/>
              </w:rPr>
            </w:pPr>
          </w:p>
        </w:tc>
        <w:tc>
          <w:tcPr>
            <w:tcW w:w="1035" w:type="dxa"/>
            <w:tcBorders>
              <w:top w:val="nil"/>
              <w:left w:val="nil"/>
              <w:bottom w:val="single" w:color="auto" w:sz="4" w:space="0"/>
              <w:right w:val="single" w:color="auto" w:sz="4" w:space="0"/>
            </w:tcBorders>
            <w:noWrap w:val="0"/>
            <w:vAlign w:val="center"/>
          </w:tcPr>
          <w:p w14:paraId="5B7E306E">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287C9F9A">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1A192134">
            <w:pPr>
              <w:widowControl/>
              <w:shd w:val="clear" w:color="auto" w:fill="auto"/>
              <w:ind w:firstLine="480"/>
              <w:jc w:val="center"/>
              <w:rPr>
                <w:rFonts w:hint="eastAsia" w:ascii="宋体" w:hAnsi="宋体" w:eastAsia="宋体" w:cs="宋体"/>
                <w:color w:val="auto"/>
                <w:kern w:val="0"/>
                <w:sz w:val="18"/>
                <w:szCs w:val="18"/>
                <w:highlight w:val="none"/>
              </w:rPr>
            </w:pPr>
          </w:p>
        </w:tc>
      </w:tr>
      <w:tr w14:paraId="695DE447">
        <w:tblPrEx>
          <w:tblCellMar>
            <w:top w:w="0" w:type="dxa"/>
            <w:left w:w="108" w:type="dxa"/>
            <w:bottom w:w="0" w:type="dxa"/>
            <w:right w:w="108" w:type="dxa"/>
          </w:tblCellMar>
        </w:tblPrEx>
        <w:trPr>
          <w:trHeight w:val="375" w:hRule="atLeast"/>
          <w:jc w:val="center"/>
        </w:trPr>
        <w:tc>
          <w:tcPr>
            <w:tcW w:w="1943" w:type="dxa"/>
            <w:tcBorders>
              <w:top w:val="nil"/>
              <w:left w:val="single" w:color="auto" w:sz="4" w:space="0"/>
              <w:bottom w:val="single" w:color="auto" w:sz="4" w:space="0"/>
              <w:right w:val="single" w:color="auto" w:sz="4" w:space="0"/>
            </w:tcBorders>
            <w:noWrap w:val="0"/>
            <w:vAlign w:val="center"/>
          </w:tcPr>
          <w:p w14:paraId="2D46A0CD">
            <w:pPr>
              <w:widowControl/>
              <w:shd w:val="clear" w:color="auto" w:fill="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立柱、墙面、踢脚线、护墙板</w:t>
            </w:r>
          </w:p>
        </w:tc>
        <w:tc>
          <w:tcPr>
            <w:tcW w:w="990" w:type="dxa"/>
            <w:tcBorders>
              <w:top w:val="nil"/>
              <w:left w:val="nil"/>
              <w:bottom w:val="single" w:color="auto" w:sz="4" w:space="0"/>
              <w:right w:val="single" w:color="auto" w:sz="4" w:space="0"/>
            </w:tcBorders>
            <w:noWrap w:val="0"/>
            <w:vAlign w:val="center"/>
          </w:tcPr>
          <w:p w14:paraId="7C5B838A">
            <w:pPr>
              <w:widowControl/>
              <w:shd w:val="clear" w:color="auto" w:fill="auto"/>
              <w:ind w:firstLine="480"/>
              <w:jc w:val="center"/>
              <w:rPr>
                <w:rFonts w:hint="eastAsia" w:ascii="宋体" w:hAnsi="宋体" w:eastAsia="宋体" w:cs="宋体"/>
                <w:color w:val="auto"/>
                <w:kern w:val="0"/>
                <w:sz w:val="18"/>
                <w:szCs w:val="18"/>
                <w:highlight w:val="none"/>
              </w:rPr>
            </w:pPr>
          </w:p>
        </w:tc>
        <w:tc>
          <w:tcPr>
            <w:tcW w:w="1185" w:type="dxa"/>
            <w:tcBorders>
              <w:top w:val="nil"/>
              <w:left w:val="nil"/>
              <w:bottom w:val="single" w:color="auto" w:sz="4" w:space="0"/>
              <w:right w:val="single" w:color="auto" w:sz="4" w:space="0"/>
            </w:tcBorders>
            <w:noWrap w:val="0"/>
            <w:vAlign w:val="center"/>
          </w:tcPr>
          <w:p w14:paraId="79D5504C">
            <w:pPr>
              <w:widowControl/>
              <w:shd w:val="clear" w:color="auto" w:fill="auto"/>
              <w:ind w:firstLine="480"/>
              <w:jc w:val="center"/>
              <w:rPr>
                <w:rFonts w:hint="eastAsia" w:ascii="宋体" w:hAnsi="宋体" w:eastAsia="宋体" w:cs="宋体"/>
                <w:color w:val="auto"/>
                <w:kern w:val="0"/>
                <w:sz w:val="18"/>
                <w:szCs w:val="18"/>
                <w:highlight w:val="none"/>
              </w:rPr>
            </w:pPr>
          </w:p>
        </w:tc>
        <w:tc>
          <w:tcPr>
            <w:tcW w:w="780" w:type="dxa"/>
            <w:tcBorders>
              <w:top w:val="nil"/>
              <w:left w:val="nil"/>
              <w:bottom w:val="single" w:color="auto" w:sz="4" w:space="0"/>
              <w:right w:val="single" w:color="auto" w:sz="4" w:space="0"/>
            </w:tcBorders>
            <w:noWrap w:val="0"/>
            <w:vAlign w:val="center"/>
          </w:tcPr>
          <w:p w14:paraId="5D00CE04">
            <w:pPr>
              <w:widowControl/>
              <w:shd w:val="clear" w:color="auto" w:fill="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990" w:type="dxa"/>
            <w:tcBorders>
              <w:top w:val="nil"/>
              <w:left w:val="nil"/>
              <w:bottom w:val="single" w:color="auto" w:sz="4" w:space="0"/>
              <w:right w:val="single" w:color="auto" w:sz="4" w:space="0"/>
            </w:tcBorders>
            <w:noWrap w:val="0"/>
            <w:vAlign w:val="center"/>
          </w:tcPr>
          <w:p w14:paraId="4B000D1A">
            <w:pPr>
              <w:widowControl/>
              <w:shd w:val="clear" w:color="auto" w:fill="auto"/>
              <w:ind w:firstLine="480"/>
              <w:jc w:val="center"/>
              <w:rPr>
                <w:rFonts w:hint="eastAsia" w:ascii="宋体" w:hAnsi="宋体" w:eastAsia="宋体" w:cs="宋体"/>
                <w:color w:val="auto"/>
                <w:kern w:val="0"/>
                <w:sz w:val="18"/>
                <w:szCs w:val="18"/>
                <w:highlight w:val="none"/>
              </w:rPr>
            </w:pPr>
          </w:p>
        </w:tc>
        <w:tc>
          <w:tcPr>
            <w:tcW w:w="1035" w:type="dxa"/>
            <w:tcBorders>
              <w:top w:val="nil"/>
              <w:left w:val="nil"/>
              <w:bottom w:val="single" w:color="auto" w:sz="4" w:space="0"/>
              <w:right w:val="single" w:color="auto" w:sz="4" w:space="0"/>
            </w:tcBorders>
            <w:noWrap w:val="0"/>
            <w:vAlign w:val="center"/>
          </w:tcPr>
          <w:p w14:paraId="28A5558D">
            <w:pPr>
              <w:widowControl/>
              <w:shd w:val="clear" w:color="auto" w:fill="auto"/>
              <w:ind w:firstLine="480"/>
              <w:jc w:val="center"/>
              <w:rPr>
                <w:rFonts w:hint="eastAsia" w:ascii="宋体" w:hAnsi="宋体" w:eastAsia="宋体" w:cs="宋体"/>
                <w:color w:val="auto"/>
                <w:kern w:val="0"/>
                <w:sz w:val="18"/>
                <w:szCs w:val="18"/>
                <w:highlight w:val="none"/>
              </w:rPr>
            </w:pPr>
          </w:p>
        </w:tc>
        <w:tc>
          <w:tcPr>
            <w:tcW w:w="982" w:type="dxa"/>
            <w:tcBorders>
              <w:top w:val="nil"/>
              <w:left w:val="nil"/>
              <w:bottom w:val="single" w:color="auto" w:sz="4" w:space="0"/>
              <w:right w:val="single" w:color="auto" w:sz="4" w:space="0"/>
            </w:tcBorders>
            <w:noWrap w:val="0"/>
            <w:vAlign w:val="center"/>
          </w:tcPr>
          <w:p w14:paraId="1149027A">
            <w:pPr>
              <w:widowControl/>
              <w:shd w:val="clear" w:color="auto" w:fill="auto"/>
              <w:ind w:firstLine="480"/>
              <w:jc w:val="center"/>
              <w:rPr>
                <w:rFonts w:hint="eastAsia" w:ascii="宋体" w:hAnsi="宋体" w:eastAsia="宋体" w:cs="宋体"/>
                <w:color w:val="auto"/>
                <w:kern w:val="0"/>
                <w:sz w:val="18"/>
                <w:szCs w:val="18"/>
                <w:highlight w:val="none"/>
              </w:rPr>
            </w:pPr>
          </w:p>
        </w:tc>
        <w:tc>
          <w:tcPr>
            <w:tcW w:w="1735" w:type="dxa"/>
            <w:tcBorders>
              <w:top w:val="nil"/>
              <w:left w:val="nil"/>
              <w:bottom w:val="single" w:color="auto" w:sz="4" w:space="0"/>
              <w:right w:val="single" w:color="auto" w:sz="4" w:space="0"/>
            </w:tcBorders>
            <w:noWrap w:val="0"/>
            <w:vAlign w:val="center"/>
          </w:tcPr>
          <w:p w14:paraId="2B0BFB7A">
            <w:pPr>
              <w:widowControl/>
              <w:shd w:val="clear" w:color="auto" w:fill="auto"/>
              <w:ind w:firstLine="480"/>
              <w:jc w:val="center"/>
              <w:rPr>
                <w:rFonts w:hint="eastAsia" w:ascii="宋体" w:hAnsi="宋体" w:eastAsia="宋体" w:cs="宋体"/>
                <w:color w:val="auto"/>
                <w:kern w:val="0"/>
                <w:sz w:val="18"/>
                <w:szCs w:val="18"/>
                <w:highlight w:val="none"/>
              </w:rPr>
            </w:pPr>
          </w:p>
        </w:tc>
      </w:tr>
    </w:tbl>
    <w:p w14:paraId="5D124945">
      <w:pPr>
        <w:shd w:val="clear" w:color="auto" w:fill="auto"/>
        <w:autoSpaceDE w:val="0"/>
        <w:autoSpaceDN w:val="0"/>
        <w:adjustRightInd w:val="0"/>
        <w:jc w:val="center"/>
        <w:rPr>
          <w:rFonts w:hint="eastAsia" w:ascii="宋体" w:hAnsi="宋体" w:eastAsia="宋体" w:cs="宋体"/>
          <w:b/>
          <w:color w:val="auto"/>
          <w:sz w:val="32"/>
          <w:szCs w:val="32"/>
          <w:highlight w:val="none"/>
          <w:lang w:val="zh-CN"/>
        </w:rPr>
      </w:pPr>
      <w:r>
        <w:rPr>
          <w:rFonts w:hint="eastAsia" w:ascii="宋体" w:hAnsi="宋体" w:eastAsia="宋体" w:cs="宋体"/>
          <w:bCs/>
          <w:color w:val="auto"/>
          <w:sz w:val="36"/>
          <w:szCs w:val="36"/>
          <w:highlight w:val="none"/>
          <w:lang w:val="zh-CN"/>
        </w:rPr>
        <w:br w:type="page"/>
      </w:r>
      <w:r>
        <w:rPr>
          <w:rFonts w:hint="eastAsia" w:ascii="宋体" w:hAnsi="宋体" w:eastAsia="宋体" w:cs="宋体"/>
          <w:b/>
          <w:color w:val="auto"/>
          <w:sz w:val="32"/>
          <w:szCs w:val="32"/>
          <w:highlight w:val="none"/>
          <w:lang w:val="zh-CN"/>
        </w:rPr>
        <w:t>停车区设施设备维护量化标准</w:t>
      </w:r>
    </w:p>
    <w:p w14:paraId="2F1ABB47">
      <w:pPr>
        <w:shd w:val="clear" w:color="auto" w:fill="auto"/>
        <w:autoSpaceDE w:val="0"/>
        <w:autoSpaceDN w:val="0"/>
        <w:adjustRightInd w:val="0"/>
        <w:jc w:val="left"/>
        <w:rPr>
          <w:rFonts w:hint="eastAsia" w:ascii="宋体" w:hAnsi="宋体" w:eastAsia="宋体" w:cs="宋体"/>
          <w:color w:val="auto"/>
          <w:highlight w:val="none"/>
        </w:rPr>
      </w:pPr>
      <w:r>
        <w:rPr>
          <w:rFonts w:hint="eastAsia" w:ascii="宋体" w:hAnsi="宋体" w:eastAsia="宋体" w:cs="宋体"/>
          <w:color w:val="auto"/>
          <w:highlight w:val="none"/>
          <w:lang w:val="zh-CN"/>
        </w:rPr>
        <w:t>因乙方操作原因造成设施、设备损坏或因长时间未对设施、设备维、养护造成损害的，费用由乙方承担。</w:t>
      </w:r>
    </w:p>
    <w:p w14:paraId="52CC6E4C">
      <w:pPr>
        <w:pStyle w:val="66"/>
        <w:shd w:val="clear" w:color="auto" w:fill="auto"/>
        <w:tabs>
          <w:tab w:val="clear" w:pos="360"/>
        </w:tabs>
        <w:spacing w:before="156" w:after="156"/>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照明设施定期维护要求</w:t>
      </w:r>
    </w:p>
    <w:tbl>
      <w:tblPr>
        <w:tblStyle w:val="24"/>
        <w:tblW w:w="97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939"/>
        <w:gridCol w:w="1939"/>
        <w:gridCol w:w="1939"/>
        <w:gridCol w:w="2734"/>
      </w:tblGrid>
      <w:tr w14:paraId="2AD53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49" w:type="dxa"/>
            <w:tcBorders>
              <w:top w:val="single" w:color="auto" w:sz="8" w:space="0"/>
              <w:bottom w:val="single" w:color="auto" w:sz="8" w:space="0"/>
            </w:tcBorders>
            <w:noWrap w:val="0"/>
            <w:vAlign w:val="center"/>
          </w:tcPr>
          <w:p w14:paraId="728F0B5D">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3878" w:type="dxa"/>
            <w:gridSpan w:val="2"/>
            <w:tcBorders>
              <w:top w:val="single" w:color="auto" w:sz="8" w:space="0"/>
              <w:bottom w:val="single" w:color="auto" w:sz="8" w:space="0"/>
            </w:tcBorders>
            <w:noWrap w:val="0"/>
            <w:vAlign w:val="center"/>
          </w:tcPr>
          <w:p w14:paraId="113A1357">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1939" w:type="dxa"/>
            <w:tcBorders>
              <w:top w:val="single" w:color="auto" w:sz="8" w:space="0"/>
              <w:bottom w:val="single" w:color="auto" w:sz="8" w:space="0"/>
            </w:tcBorders>
            <w:noWrap w:val="0"/>
            <w:vAlign w:val="center"/>
          </w:tcPr>
          <w:p w14:paraId="6914887E">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2734" w:type="dxa"/>
            <w:tcBorders>
              <w:top w:val="single" w:color="auto" w:sz="8" w:space="0"/>
              <w:bottom w:val="single" w:color="auto" w:sz="8" w:space="0"/>
            </w:tcBorders>
            <w:noWrap w:val="0"/>
            <w:vAlign w:val="center"/>
          </w:tcPr>
          <w:p w14:paraId="30D70480">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具体操作内容</w:t>
            </w:r>
          </w:p>
        </w:tc>
      </w:tr>
      <w:tr w14:paraId="30A73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49" w:type="dxa"/>
            <w:vMerge w:val="restart"/>
            <w:tcBorders>
              <w:top w:val="single" w:color="auto" w:sz="8" w:space="0"/>
            </w:tcBorders>
            <w:noWrap w:val="0"/>
            <w:vAlign w:val="center"/>
          </w:tcPr>
          <w:p w14:paraId="76B828BD">
            <w:pPr>
              <w:pStyle w:val="67"/>
              <w:shd w:val="clear" w:color="auto" w:fill="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39" w:type="dxa"/>
            <w:vMerge w:val="restart"/>
            <w:tcBorders>
              <w:top w:val="single" w:color="auto" w:sz="8" w:space="0"/>
            </w:tcBorders>
            <w:noWrap w:val="0"/>
            <w:vAlign w:val="center"/>
          </w:tcPr>
          <w:p w14:paraId="7EFC83F4">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灯具与光源</w:t>
            </w:r>
          </w:p>
          <w:p w14:paraId="7EE34DCA">
            <w:pPr>
              <w:pStyle w:val="67"/>
              <w:shd w:val="clear" w:color="auto" w:fill="auto"/>
              <w:ind w:firstLine="0" w:firstLineChars="0"/>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应急照明设施</w:t>
            </w:r>
          </w:p>
        </w:tc>
        <w:tc>
          <w:tcPr>
            <w:tcW w:w="1939" w:type="dxa"/>
            <w:tcBorders>
              <w:top w:val="single" w:color="auto" w:sz="8" w:space="0"/>
            </w:tcBorders>
            <w:noWrap w:val="0"/>
            <w:vAlign w:val="center"/>
          </w:tcPr>
          <w:p w14:paraId="0B332352">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939" w:type="dxa"/>
            <w:tcBorders>
              <w:top w:val="single" w:color="auto" w:sz="8" w:space="0"/>
            </w:tcBorders>
            <w:noWrap w:val="0"/>
            <w:vAlign w:val="center"/>
          </w:tcPr>
          <w:p w14:paraId="537C841A">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734" w:type="dxa"/>
            <w:tcBorders>
              <w:top w:val="single" w:color="auto" w:sz="8" w:space="0"/>
            </w:tcBorders>
            <w:noWrap w:val="0"/>
            <w:vAlign w:val="center"/>
          </w:tcPr>
          <w:p w14:paraId="083E2DA9">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观察、发现损坏立即更换</w:t>
            </w:r>
          </w:p>
        </w:tc>
      </w:tr>
      <w:tr w14:paraId="75B3B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49" w:type="dxa"/>
            <w:vMerge w:val="continue"/>
            <w:noWrap w:val="0"/>
            <w:vAlign w:val="center"/>
          </w:tcPr>
          <w:p w14:paraId="5AD8B804">
            <w:pPr>
              <w:pStyle w:val="67"/>
              <w:shd w:val="clear" w:color="auto" w:fill="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504F1FB9">
            <w:pPr>
              <w:shd w:val="clear" w:color="auto" w:fill="auto"/>
              <w:jc w:val="center"/>
              <w:rPr>
                <w:rFonts w:hint="eastAsia" w:ascii="宋体" w:hAnsi="宋体" w:eastAsia="宋体" w:cs="宋体"/>
                <w:color w:val="auto"/>
                <w:sz w:val="18"/>
                <w:szCs w:val="18"/>
                <w:highlight w:val="none"/>
              </w:rPr>
            </w:pPr>
          </w:p>
        </w:tc>
        <w:tc>
          <w:tcPr>
            <w:tcW w:w="1939" w:type="dxa"/>
            <w:noWrap w:val="0"/>
            <w:vAlign w:val="center"/>
          </w:tcPr>
          <w:p w14:paraId="26958A08">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939" w:type="dxa"/>
            <w:noWrap w:val="0"/>
            <w:vAlign w:val="center"/>
          </w:tcPr>
          <w:p w14:paraId="130B9225">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734" w:type="dxa"/>
            <w:noWrap w:val="0"/>
            <w:vAlign w:val="center"/>
          </w:tcPr>
          <w:p w14:paraId="7F5AF77B">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14:paraId="3C541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49" w:type="dxa"/>
            <w:vMerge w:val="restart"/>
            <w:noWrap w:val="0"/>
            <w:vAlign w:val="center"/>
          </w:tcPr>
          <w:p w14:paraId="42C57F22">
            <w:pPr>
              <w:pStyle w:val="67"/>
              <w:shd w:val="clear" w:color="auto" w:fill="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39" w:type="dxa"/>
            <w:vMerge w:val="restart"/>
            <w:noWrap w:val="0"/>
            <w:vAlign w:val="center"/>
          </w:tcPr>
          <w:p w14:paraId="78CD9937">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高杆灯</w:t>
            </w:r>
          </w:p>
        </w:tc>
        <w:tc>
          <w:tcPr>
            <w:tcW w:w="1939" w:type="dxa"/>
            <w:noWrap w:val="0"/>
            <w:vAlign w:val="center"/>
          </w:tcPr>
          <w:p w14:paraId="570EA054">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939" w:type="dxa"/>
            <w:noWrap w:val="0"/>
            <w:vAlign w:val="center"/>
          </w:tcPr>
          <w:p w14:paraId="16DABDFA">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734" w:type="dxa"/>
            <w:noWrap w:val="0"/>
            <w:vAlign w:val="center"/>
          </w:tcPr>
          <w:p w14:paraId="2DCD469F">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14:paraId="7DE97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49" w:type="dxa"/>
            <w:vMerge w:val="continue"/>
            <w:noWrap w:val="0"/>
            <w:vAlign w:val="center"/>
          </w:tcPr>
          <w:p w14:paraId="7E1B18AF">
            <w:pPr>
              <w:pStyle w:val="67"/>
              <w:shd w:val="clear" w:color="auto" w:fill="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6F29EB41">
            <w:pPr>
              <w:shd w:val="clear" w:color="auto" w:fill="auto"/>
              <w:jc w:val="center"/>
              <w:rPr>
                <w:rFonts w:hint="eastAsia" w:ascii="宋体" w:hAnsi="宋体" w:eastAsia="宋体" w:cs="宋体"/>
                <w:color w:val="auto"/>
                <w:sz w:val="18"/>
                <w:szCs w:val="18"/>
                <w:highlight w:val="none"/>
              </w:rPr>
            </w:pPr>
          </w:p>
        </w:tc>
        <w:tc>
          <w:tcPr>
            <w:tcW w:w="1939" w:type="dxa"/>
            <w:noWrap w:val="0"/>
            <w:vAlign w:val="center"/>
          </w:tcPr>
          <w:p w14:paraId="43E47051">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灯架防腐</w:t>
            </w:r>
          </w:p>
        </w:tc>
        <w:tc>
          <w:tcPr>
            <w:tcW w:w="1939" w:type="dxa"/>
            <w:noWrap w:val="0"/>
            <w:vAlign w:val="center"/>
          </w:tcPr>
          <w:p w14:paraId="302A630C">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3月</w:t>
            </w:r>
          </w:p>
        </w:tc>
        <w:tc>
          <w:tcPr>
            <w:tcW w:w="2734" w:type="dxa"/>
            <w:noWrap w:val="0"/>
            <w:vAlign w:val="center"/>
          </w:tcPr>
          <w:p w14:paraId="2123E2B3">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损坏时更换</w:t>
            </w:r>
          </w:p>
        </w:tc>
      </w:tr>
      <w:tr w14:paraId="4A1A2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49" w:type="dxa"/>
            <w:vMerge w:val="continue"/>
            <w:noWrap w:val="0"/>
            <w:vAlign w:val="center"/>
          </w:tcPr>
          <w:p w14:paraId="7554CFA1">
            <w:pPr>
              <w:pStyle w:val="67"/>
              <w:shd w:val="clear" w:color="auto" w:fill="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35C852B0">
            <w:pPr>
              <w:shd w:val="clear" w:color="auto" w:fill="auto"/>
              <w:jc w:val="center"/>
              <w:rPr>
                <w:rFonts w:hint="eastAsia" w:ascii="宋体" w:hAnsi="宋体" w:eastAsia="宋体" w:cs="宋体"/>
                <w:color w:val="auto"/>
                <w:sz w:val="18"/>
                <w:szCs w:val="18"/>
                <w:highlight w:val="none"/>
              </w:rPr>
            </w:pPr>
          </w:p>
        </w:tc>
        <w:tc>
          <w:tcPr>
            <w:tcW w:w="1939" w:type="dxa"/>
            <w:noWrap w:val="0"/>
            <w:vAlign w:val="center"/>
          </w:tcPr>
          <w:p w14:paraId="14C7EEFB">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939" w:type="dxa"/>
            <w:noWrap w:val="0"/>
            <w:vAlign w:val="center"/>
          </w:tcPr>
          <w:p w14:paraId="4E069E88">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1年</w:t>
            </w:r>
          </w:p>
        </w:tc>
        <w:tc>
          <w:tcPr>
            <w:tcW w:w="2734" w:type="dxa"/>
            <w:noWrap w:val="0"/>
            <w:vAlign w:val="center"/>
          </w:tcPr>
          <w:p w14:paraId="7683F4DB">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14:paraId="4FBC8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49" w:type="dxa"/>
            <w:vMerge w:val="continue"/>
            <w:noWrap w:val="0"/>
            <w:vAlign w:val="center"/>
          </w:tcPr>
          <w:p w14:paraId="1E0BFEA4">
            <w:pPr>
              <w:pStyle w:val="67"/>
              <w:shd w:val="clear" w:color="auto" w:fill="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2BCC8C29">
            <w:pPr>
              <w:shd w:val="clear" w:color="auto" w:fill="auto"/>
              <w:jc w:val="center"/>
              <w:rPr>
                <w:rFonts w:hint="eastAsia" w:ascii="宋体" w:hAnsi="宋体" w:eastAsia="宋体" w:cs="宋体"/>
                <w:color w:val="auto"/>
                <w:sz w:val="18"/>
                <w:szCs w:val="18"/>
                <w:highlight w:val="none"/>
              </w:rPr>
            </w:pPr>
          </w:p>
        </w:tc>
        <w:tc>
          <w:tcPr>
            <w:tcW w:w="1939" w:type="dxa"/>
            <w:noWrap w:val="0"/>
            <w:vAlign w:val="center"/>
          </w:tcPr>
          <w:p w14:paraId="2583F178">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升降器检修</w:t>
            </w:r>
          </w:p>
        </w:tc>
        <w:tc>
          <w:tcPr>
            <w:tcW w:w="1939" w:type="dxa"/>
            <w:noWrap w:val="0"/>
            <w:vAlign w:val="center"/>
          </w:tcPr>
          <w:p w14:paraId="5FD12156">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734" w:type="dxa"/>
            <w:noWrap w:val="0"/>
            <w:vAlign w:val="center"/>
          </w:tcPr>
          <w:p w14:paraId="4FC79DC8">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检查与维修</w:t>
            </w:r>
          </w:p>
        </w:tc>
      </w:tr>
      <w:tr w14:paraId="72CC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49" w:type="dxa"/>
            <w:vMerge w:val="restart"/>
            <w:noWrap w:val="0"/>
            <w:vAlign w:val="center"/>
          </w:tcPr>
          <w:p w14:paraId="4659776F">
            <w:pPr>
              <w:pStyle w:val="67"/>
              <w:shd w:val="clear" w:color="auto" w:fill="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39" w:type="dxa"/>
            <w:vMerge w:val="restart"/>
            <w:noWrap w:val="0"/>
            <w:vAlign w:val="center"/>
          </w:tcPr>
          <w:p w14:paraId="2D07E9EA">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照明配电箱</w:t>
            </w:r>
          </w:p>
        </w:tc>
        <w:tc>
          <w:tcPr>
            <w:tcW w:w="1939" w:type="dxa"/>
            <w:noWrap w:val="0"/>
            <w:vAlign w:val="center"/>
          </w:tcPr>
          <w:p w14:paraId="7EC9BAE8">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939" w:type="dxa"/>
            <w:noWrap w:val="0"/>
            <w:vAlign w:val="center"/>
          </w:tcPr>
          <w:p w14:paraId="5680EAEB">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每月</w:t>
            </w:r>
          </w:p>
        </w:tc>
        <w:tc>
          <w:tcPr>
            <w:tcW w:w="2734" w:type="dxa"/>
            <w:noWrap w:val="0"/>
            <w:vAlign w:val="center"/>
          </w:tcPr>
          <w:p w14:paraId="124BF01A">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14:paraId="45335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149" w:type="dxa"/>
            <w:vMerge w:val="continue"/>
            <w:noWrap w:val="0"/>
            <w:vAlign w:val="center"/>
          </w:tcPr>
          <w:p w14:paraId="22830165">
            <w:pPr>
              <w:pStyle w:val="67"/>
              <w:shd w:val="clear" w:color="auto" w:fill="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578EA366">
            <w:pPr>
              <w:pStyle w:val="67"/>
              <w:shd w:val="clear" w:color="auto" w:fill="auto"/>
              <w:ind w:firstLine="0" w:firstLineChars="0"/>
              <w:jc w:val="center"/>
              <w:rPr>
                <w:rFonts w:hint="eastAsia" w:ascii="宋体" w:hAnsi="宋体" w:eastAsia="宋体" w:cs="宋体"/>
                <w:color w:val="auto"/>
                <w:sz w:val="18"/>
                <w:szCs w:val="18"/>
                <w:highlight w:val="none"/>
              </w:rPr>
            </w:pPr>
          </w:p>
        </w:tc>
        <w:tc>
          <w:tcPr>
            <w:tcW w:w="1939" w:type="dxa"/>
            <w:tcBorders>
              <w:bottom w:val="single" w:color="auto" w:sz="4" w:space="0"/>
            </w:tcBorders>
            <w:noWrap w:val="0"/>
            <w:vAlign w:val="center"/>
          </w:tcPr>
          <w:p w14:paraId="0F2A6F1C">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939" w:type="dxa"/>
            <w:tcBorders>
              <w:bottom w:val="single" w:color="auto" w:sz="4" w:space="0"/>
            </w:tcBorders>
            <w:noWrap w:val="0"/>
            <w:vAlign w:val="center"/>
          </w:tcPr>
          <w:p w14:paraId="4435C216">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734" w:type="dxa"/>
            <w:tcBorders>
              <w:bottom w:val="single" w:color="auto" w:sz="4" w:space="0"/>
            </w:tcBorders>
            <w:noWrap w:val="0"/>
            <w:vAlign w:val="center"/>
          </w:tcPr>
          <w:p w14:paraId="6262AF9B">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更换、紧固、涂漆</w:t>
            </w:r>
          </w:p>
        </w:tc>
      </w:tr>
      <w:tr w14:paraId="36A3F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49" w:type="dxa"/>
            <w:vMerge w:val="continue"/>
            <w:tcBorders>
              <w:bottom w:val="single" w:color="auto" w:sz="8" w:space="0"/>
            </w:tcBorders>
            <w:noWrap w:val="0"/>
            <w:vAlign w:val="center"/>
          </w:tcPr>
          <w:p w14:paraId="1CDFFBEF">
            <w:pPr>
              <w:pStyle w:val="67"/>
              <w:shd w:val="clear" w:color="auto" w:fill="auto"/>
              <w:ind w:firstLine="0" w:firstLineChars="0"/>
              <w:jc w:val="center"/>
              <w:rPr>
                <w:rFonts w:hint="eastAsia" w:ascii="宋体" w:hAnsi="宋体" w:eastAsia="宋体" w:cs="宋体"/>
                <w:color w:val="auto"/>
                <w:sz w:val="18"/>
                <w:szCs w:val="18"/>
                <w:highlight w:val="none"/>
              </w:rPr>
            </w:pPr>
          </w:p>
        </w:tc>
        <w:tc>
          <w:tcPr>
            <w:tcW w:w="1939" w:type="dxa"/>
            <w:vMerge w:val="continue"/>
            <w:tcBorders>
              <w:bottom w:val="single" w:color="auto" w:sz="8" w:space="0"/>
            </w:tcBorders>
            <w:noWrap w:val="0"/>
            <w:vAlign w:val="center"/>
          </w:tcPr>
          <w:p w14:paraId="2E7EE4FD">
            <w:pPr>
              <w:pStyle w:val="67"/>
              <w:shd w:val="clear" w:color="auto" w:fill="auto"/>
              <w:ind w:firstLine="0" w:firstLineChars="0"/>
              <w:jc w:val="center"/>
              <w:rPr>
                <w:rFonts w:hint="eastAsia" w:ascii="宋体" w:hAnsi="宋体" w:eastAsia="宋体" w:cs="宋体"/>
                <w:color w:val="auto"/>
                <w:sz w:val="18"/>
                <w:szCs w:val="18"/>
                <w:highlight w:val="none"/>
              </w:rPr>
            </w:pPr>
          </w:p>
        </w:tc>
        <w:tc>
          <w:tcPr>
            <w:tcW w:w="1939" w:type="dxa"/>
            <w:tcBorders>
              <w:top w:val="single" w:color="auto" w:sz="4" w:space="0"/>
              <w:bottom w:val="single" w:color="auto" w:sz="8" w:space="0"/>
            </w:tcBorders>
            <w:noWrap w:val="0"/>
            <w:vAlign w:val="center"/>
          </w:tcPr>
          <w:p w14:paraId="4CB9F9FE">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检测光控和时控</w:t>
            </w:r>
          </w:p>
        </w:tc>
        <w:tc>
          <w:tcPr>
            <w:tcW w:w="1939" w:type="dxa"/>
            <w:tcBorders>
              <w:top w:val="single" w:color="auto" w:sz="4" w:space="0"/>
              <w:bottom w:val="single" w:color="auto" w:sz="8" w:space="0"/>
            </w:tcBorders>
            <w:noWrap w:val="0"/>
            <w:vAlign w:val="center"/>
          </w:tcPr>
          <w:p w14:paraId="1AC1ACF7">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734" w:type="dxa"/>
            <w:tcBorders>
              <w:top w:val="single" w:color="auto" w:sz="4" w:space="0"/>
              <w:bottom w:val="single" w:color="auto" w:sz="8" w:space="0"/>
            </w:tcBorders>
            <w:noWrap w:val="0"/>
            <w:vAlign w:val="center"/>
          </w:tcPr>
          <w:p w14:paraId="392D6BDD">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损坏后及时更换</w:t>
            </w:r>
          </w:p>
        </w:tc>
      </w:tr>
    </w:tbl>
    <w:p w14:paraId="15E6B606">
      <w:pPr>
        <w:pStyle w:val="66"/>
        <w:shd w:val="clear" w:color="auto" w:fill="auto"/>
        <w:tabs>
          <w:tab w:val="clear" w:pos="360"/>
        </w:tabs>
        <w:spacing w:before="156" w:after="156"/>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高、低压配电柜定期维护要求</w:t>
      </w:r>
    </w:p>
    <w:tbl>
      <w:tblPr>
        <w:tblStyle w:val="24"/>
        <w:tblW w:w="96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2401"/>
        <w:gridCol w:w="1137"/>
        <w:gridCol w:w="4925"/>
      </w:tblGrid>
      <w:tr w14:paraId="5771B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37" w:type="dxa"/>
            <w:tcBorders>
              <w:top w:val="single" w:color="auto" w:sz="8" w:space="0"/>
              <w:bottom w:val="single" w:color="auto" w:sz="8" w:space="0"/>
            </w:tcBorders>
            <w:noWrap w:val="0"/>
            <w:vAlign w:val="center"/>
          </w:tcPr>
          <w:p w14:paraId="3F65772C">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401" w:type="dxa"/>
            <w:tcBorders>
              <w:top w:val="single" w:color="auto" w:sz="8" w:space="0"/>
              <w:bottom w:val="single" w:color="auto" w:sz="8" w:space="0"/>
            </w:tcBorders>
            <w:noWrap w:val="0"/>
            <w:vAlign w:val="center"/>
          </w:tcPr>
          <w:p w14:paraId="47ACD700">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37" w:type="dxa"/>
            <w:tcBorders>
              <w:top w:val="single" w:color="auto" w:sz="8" w:space="0"/>
              <w:bottom w:val="single" w:color="auto" w:sz="8" w:space="0"/>
            </w:tcBorders>
            <w:noWrap w:val="0"/>
            <w:vAlign w:val="center"/>
          </w:tcPr>
          <w:p w14:paraId="4BD9DF54">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925" w:type="dxa"/>
            <w:tcBorders>
              <w:top w:val="single" w:color="auto" w:sz="8" w:space="0"/>
              <w:bottom w:val="single" w:color="auto" w:sz="8" w:space="0"/>
            </w:tcBorders>
            <w:noWrap w:val="0"/>
            <w:vAlign w:val="center"/>
          </w:tcPr>
          <w:p w14:paraId="5A6B99F5">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具体保养内容</w:t>
            </w:r>
          </w:p>
        </w:tc>
      </w:tr>
      <w:tr w14:paraId="0D058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37" w:type="dxa"/>
            <w:tcBorders>
              <w:top w:val="single" w:color="auto" w:sz="8" w:space="0"/>
            </w:tcBorders>
            <w:noWrap w:val="0"/>
            <w:vAlign w:val="center"/>
          </w:tcPr>
          <w:p w14:paraId="36505DD4">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401" w:type="dxa"/>
            <w:tcBorders>
              <w:top w:val="single" w:color="auto" w:sz="8" w:space="0"/>
            </w:tcBorders>
            <w:noWrap w:val="0"/>
            <w:vAlign w:val="center"/>
          </w:tcPr>
          <w:p w14:paraId="68D17099">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w:t>
            </w:r>
          </w:p>
        </w:tc>
        <w:tc>
          <w:tcPr>
            <w:tcW w:w="1137" w:type="dxa"/>
            <w:tcBorders>
              <w:top w:val="single" w:color="auto" w:sz="8" w:space="0"/>
            </w:tcBorders>
            <w:noWrap w:val="0"/>
            <w:vAlign w:val="center"/>
          </w:tcPr>
          <w:p w14:paraId="79B8D761">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925" w:type="dxa"/>
            <w:tcBorders>
              <w:top w:val="single" w:color="auto" w:sz="8" w:space="0"/>
            </w:tcBorders>
            <w:noWrap w:val="0"/>
            <w:vAlign w:val="center"/>
          </w:tcPr>
          <w:p w14:paraId="5267FA55">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清洁</w:t>
            </w:r>
          </w:p>
        </w:tc>
      </w:tr>
      <w:tr w14:paraId="01BA6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37" w:type="dxa"/>
            <w:noWrap w:val="0"/>
            <w:vAlign w:val="center"/>
          </w:tcPr>
          <w:p w14:paraId="2DDFBE3A">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401" w:type="dxa"/>
            <w:noWrap w:val="0"/>
            <w:vAlign w:val="center"/>
          </w:tcPr>
          <w:p w14:paraId="557DF6D0">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电器仪表</w:t>
            </w:r>
          </w:p>
        </w:tc>
        <w:tc>
          <w:tcPr>
            <w:tcW w:w="1137" w:type="dxa"/>
            <w:noWrap w:val="0"/>
            <w:vAlign w:val="center"/>
          </w:tcPr>
          <w:p w14:paraId="4574DE64">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925" w:type="dxa"/>
            <w:noWrap w:val="0"/>
            <w:vAlign w:val="center"/>
          </w:tcPr>
          <w:p w14:paraId="347391D0">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外表清洁，显示正常、固定可靠</w:t>
            </w:r>
          </w:p>
        </w:tc>
      </w:tr>
      <w:tr w14:paraId="370C7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37" w:type="dxa"/>
            <w:noWrap w:val="0"/>
            <w:vAlign w:val="center"/>
          </w:tcPr>
          <w:p w14:paraId="1FAFAB82">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401" w:type="dxa"/>
            <w:noWrap w:val="0"/>
            <w:vAlign w:val="center"/>
          </w:tcPr>
          <w:p w14:paraId="4C6B03D4">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继电器、交流接触器、断路器、闸刀开关</w:t>
            </w:r>
          </w:p>
        </w:tc>
        <w:tc>
          <w:tcPr>
            <w:tcW w:w="1137" w:type="dxa"/>
            <w:noWrap w:val="0"/>
            <w:vAlign w:val="center"/>
          </w:tcPr>
          <w:p w14:paraId="3A639FAA">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925" w:type="dxa"/>
            <w:noWrap w:val="0"/>
            <w:vAlign w:val="center"/>
          </w:tcPr>
          <w:p w14:paraId="22839845">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外表清洁，触点完好，无过热现象，无噪音</w:t>
            </w:r>
          </w:p>
        </w:tc>
      </w:tr>
      <w:tr w14:paraId="41485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37" w:type="dxa"/>
            <w:noWrap w:val="0"/>
            <w:vAlign w:val="center"/>
          </w:tcPr>
          <w:p w14:paraId="47690CE5">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401" w:type="dxa"/>
            <w:noWrap w:val="0"/>
            <w:vAlign w:val="center"/>
          </w:tcPr>
          <w:p w14:paraId="7A28EFCB">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控制回路</w:t>
            </w:r>
          </w:p>
        </w:tc>
        <w:tc>
          <w:tcPr>
            <w:tcW w:w="1137" w:type="dxa"/>
            <w:noWrap w:val="0"/>
            <w:vAlign w:val="center"/>
          </w:tcPr>
          <w:p w14:paraId="7BC4142E">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925" w:type="dxa"/>
            <w:noWrap w:val="0"/>
            <w:vAlign w:val="center"/>
          </w:tcPr>
          <w:p w14:paraId="199F70E6">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压接良好、标号清晰，绝缘无变色老化</w:t>
            </w:r>
          </w:p>
        </w:tc>
      </w:tr>
      <w:tr w14:paraId="37501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37" w:type="dxa"/>
            <w:noWrap w:val="0"/>
            <w:vAlign w:val="center"/>
          </w:tcPr>
          <w:p w14:paraId="2D2787E2">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401" w:type="dxa"/>
            <w:noWrap w:val="0"/>
            <w:vAlign w:val="center"/>
          </w:tcPr>
          <w:p w14:paraId="70EAF784">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指示灯、按钮转换开关</w:t>
            </w:r>
          </w:p>
        </w:tc>
        <w:tc>
          <w:tcPr>
            <w:tcW w:w="1137" w:type="dxa"/>
            <w:noWrap w:val="0"/>
            <w:vAlign w:val="center"/>
          </w:tcPr>
          <w:p w14:paraId="0E073F37">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925" w:type="dxa"/>
            <w:noWrap w:val="0"/>
            <w:vAlign w:val="center"/>
          </w:tcPr>
          <w:p w14:paraId="7F32F273">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外表清洁，标志清晰，牢固可靠，转动灵活</w:t>
            </w:r>
          </w:p>
        </w:tc>
      </w:tr>
      <w:tr w14:paraId="4FF71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37" w:type="dxa"/>
            <w:noWrap w:val="0"/>
            <w:vAlign w:val="center"/>
          </w:tcPr>
          <w:p w14:paraId="47F824B2">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2401" w:type="dxa"/>
            <w:noWrap w:val="0"/>
            <w:vAlign w:val="center"/>
          </w:tcPr>
          <w:p w14:paraId="5122B896">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电容无功补偿</w:t>
            </w:r>
          </w:p>
        </w:tc>
        <w:tc>
          <w:tcPr>
            <w:tcW w:w="1137" w:type="dxa"/>
            <w:noWrap w:val="0"/>
            <w:vAlign w:val="center"/>
          </w:tcPr>
          <w:p w14:paraId="45453C09">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925" w:type="dxa"/>
            <w:noWrap w:val="0"/>
            <w:vAlign w:val="center"/>
          </w:tcPr>
          <w:p w14:paraId="38B6B2F1">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电容接触器良好，电容补偿三相平衡，电容器无发热膨胀，也不冰冷，接头不发热变色</w:t>
            </w:r>
          </w:p>
        </w:tc>
      </w:tr>
      <w:tr w14:paraId="33376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37" w:type="dxa"/>
            <w:tcBorders>
              <w:bottom w:val="single" w:color="auto" w:sz="4" w:space="0"/>
            </w:tcBorders>
            <w:noWrap w:val="0"/>
            <w:vAlign w:val="center"/>
          </w:tcPr>
          <w:p w14:paraId="19D73AA9">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2401" w:type="dxa"/>
            <w:tcBorders>
              <w:bottom w:val="single" w:color="auto" w:sz="4" w:space="0"/>
            </w:tcBorders>
            <w:noWrap w:val="0"/>
            <w:vAlign w:val="center"/>
          </w:tcPr>
          <w:p w14:paraId="157C05F8">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母线排</w:t>
            </w:r>
          </w:p>
        </w:tc>
        <w:tc>
          <w:tcPr>
            <w:tcW w:w="1137" w:type="dxa"/>
            <w:tcBorders>
              <w:bottom w:val="single" w:color="auto" w:sz="4" w:space="0"/>
            </w:tcBorders>
            <w:noWrap w:val="0"/>
            <w:vAlign w:val="center"/>
          </w:tcPr>
          <w:p w14:paraId="1BA0FC01">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925" w:type="dxa"/>
            <w:tcBorders>
              <w:bottom w:val="single" w:color="auto" w:sz="4" w:space="0"/>
            </w:tcBorders>
            <w:noWrap w:val="0"/>
            <w:vAlign w:val="center"/>
          </w:tcPr>
          <w:p w14:paraId="45F96646">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压接良好，色标清晰，绝缘良好</w:t>
            </w:r>
          </w:p>
        </w:tc>
      </w:tr>
      <w:tr w14:paraId="628A8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37" w:type="dxa"/>
            <w:tcBorders>
              <w:top w:val="single" w:color="auto" w:sz="4" w:space="0"/>
              <w:bottom w:val="single" w:color="auto" w:sz="8" w:space="0"/>
            </w:tcBorders>
            <w:noWrap w:val="0"/>
            <w:vAlign w:val="center"/>
          </w:tcPr>
          <w:p w14:paraId="398AB7F2">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2401" w:type="dxa"/>
            <w:tcBorders>
              <w:top w:val="single" w:color="auto" w:sz="4" w:space="0"/>
              <w:bottom w:val="single" w:color="auto" w:sz="8" w:space="0"/>
            </w:tcBorders>
            <w:noWrap w:val="0"/>
            <w:vAlign w:val="center"/>
          </w:tcPr>
          <w:p w14:paraId="715FFE56">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配电屏对地测试</w:t>
            </w:r>
          </w:p>
        </w:tc>
        <w:tc>
          <w:tcPr>
            <w:tcW w:w="1137" w:type="dxa"/>
            <w:tcBorders>
              <w:top w:val="single" w:color="auto" w:sz="4" w:space="0"/>
              <w:bottom w:val="single" w:color="auto" w:sz="8" w:space="0"/>
            </w:tcBorders>
            <w:noWrap w:val="0"/>
            <w:vAlign w:val="center"/>
          </w:tcPr>
          <w:p w14:paraId="29CE880F">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925" w:type="dxa"/>
            <w:tcBorders>
              <w:top w:val="single" w:color="auto" w:sz="4" w:space="0"/>
              <w:bottom w:val="single" w:color="auto" w:sz="8" w:space="0"/>
            </w:tcBorders>
            <w:noWrap w:val="0"/>
            <w:vAlign w:val="center"/>
          </w:tcPr>
          <w:p w14:paraId="463938BA">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接地良好</w:t>
            </w:r>
          </w:p>
        </w:tc>
      </w:tr>
    </w:tbl>
    <w:p w14:paraId="596C0D95">
      <w:pPr>
        <w:pStyle w:val="66"/>
        <w:shd w:val="clear" w:color="auto" w:fill="auto"/>
        <w:tabs>
          <w:tab w:val="clear" w:pos="360"/>
        </w:tabs>
        <w:spacing w:before="156" w:after="156"/>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发电机组定期维护要求</w:t>
      </w:r>
    </w:p>
    <w:tbl>
      <w:tblPr>
        <w:tblStyle w:val="24"/>
        <w:tblW w:w="96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406"/>
        <w:gridCol w:w="1140"/>
        <w:gridCol w:w="4935"/>
      </w:tblGrid>
      <w:tr w14:paraId="60AF2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39" w:type="dxa"/>
            <w:tcBorders>
              <w:top w:val="single" w:color="auto" w:sz="8" w:space="0"/>
              <w:bottom w:val="single" w:color="auto" w:sz="8" w:space="0"/>
            </w:tcBorders>
            <w:noWrap w:val="0"/>
            <w:vAlign w:val="center"/>
          </w:tcPr>
          <w:p w14:paraId="7128B337">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406" w:type="dxa"/>
            <w:tcBorders>
              <w:top w:val="single" w:color="auto" w:sz="8" w:space="0"/>
              <w:bottom w:val="single" w:color="auto" w:sz="8" w:space="0"/>
            </w:tcBorders>
            <w:noWrap w:val="0"/>
            <w:vAlign w:val="center"/>
          </w:tcPr>
          <w:p w14:paraId="74F966BD">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40" w:type="dxa"/>
            <w:tcBorders>
              <w:top w:val="single" w:color="auto" w:sz="8" w:space="0"/>
              <w:bottom w:val="single" w:color="auto" w:sz="8" w:space="0"/>
            </w:tcBorders>
            <w:noWrap w:val="0"/>
            <w:vAlign w:val="center"/>
          </w:tcPr>
          <w:p w14:paraId="06042560">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935" w:type="dxa"/>
            <w:tcBorders>
              <w:top w:val="single" w:color="auto" w:sz="8" w:space="0"/>
              <w:bottom w:val="single" w:color="auto" w:sz="8" w:space="0"/>
            </w:tcBorders>
            <w:noWrap w:val="0"/>
            <w:vAlign w:val="center"/>
          </w:tcPr>
          <w:p w14:paraId="3565FC60">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4EC0B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39" w:type="dxa"/>
            <w:tcBorders>
              <w:top w:val="single" w:color="auto" w:sz="8" w:space="0"/>
            </w:tcBorders>
            <w:noWrap w:val="0"/>
            <w:vAlign w:val="center"/>
          </w:tcPr>
          <w:p w14:paraId="21B26233">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406" w:type="dxa"/>
            <w:tcBorders>
              <w:top w:val="single" w:color="auto" w:sz="8" w:space="0"/>
            </w:tcBorders>
            <w:noWrap w:val="0"/>
            <w:vAlign w:val="center"/>
          </w:tcPr>
          <w:p w14:paraId="0566D61C">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常规保养</w:t>
            </w:r>
          </w:p>
        </w:tc>
        <w:tc>
          <w:tcPr>
            <w:tcW w:w="1140" w:type="dxa"/>
            <w:tcBorders>
              <w:top w:val="single" w:color="auto" w:sz="8" w:space="0"/>
            </w:tcBorders>
            <w:noWrap w:val="0"/>
            <w:vAlign w:val="center"/>
          </w:tcPr>
          <w:p w14:paraId="2EFCF007">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w:t>
            </w:r>
          </w:p>
        </w:tc>
        <w:tc>
          <w:tcPr>
            <w:tcW w:w="4935" w:type="dxa"/>
            <w:tcBorders>
              <w:top w:val="single" w:color="auto" w:sz="8" w:space="0"/>
            </w:tcBorders>
            <w:noWrap w:val="0"/>
            <w:vAlign w:val="center"/>
          </w:tcPr>
          <w:p w14:paraId="5C15A8B0">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日常检查，每月开机二次，每次1小时</w:t>
            </w:r>
          </w:p>
        </w:tc>
      </w:tr>
      <w:tr w14:paraId="2F128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39" w:type="dxa"/>
            <w:noWrap w:val="0"/>
            <w:vAlign w:val="center"/>
          </w:tcPr>
          <w:p w14:paraId="244FB781">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406" w:type="dxa"/>
            <w:noWrap w:val="0"/>
            <w:vAlign w:val="center"/>
          </w:tcPr>
          <w:p w14:paraId="71759712">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日常维护</w:t>
            </w:r>
          </w:p>
        </w:tc>
        <w:tc>
          <w:tcPr>
            <w:tcW w:w="1140" w:type="dxa"/>
            <w:noWrap w:val="0"/>
            <w:vAlign w:val="center"/>
          </w:tcPr>
          <w:p w14:paraId="7F23D08B">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w:t>
            </w:r>
          </w:p>
        </w:tc>
        <w:tc>
          <w:tcPr>
            <w:tcW w:w="4935" w:type="dxa"/>
            <w:noWrap w:val="0"/>
            <w:vAlign w:val="center"/>
          </w:tcPr>
          <w:p w14:paraId="615A7A25">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按设备需要进行发动实验</w:t>
            </w:r>
          </w:p>
        </w:tc>
      </w:tr>
      <w:tr w14:paraId="39C60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39" w:type="dxa"/>
            <w:noWrap w:val="0"/>
            <w:vAlign w:val="center"/>
          </w:tcPr>
          <w:p w14:paraId="4BD12965">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406" w:type="dxa"/>
            <w:noWrap w:val="0"/>
            <w:vAlign w:val="center"/>
          </w:tcPr>
          <w:p w14:paraId="2AC6E448">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一级技术保养</w:t>
            </w:r>
          </w:p>
        </w:tc>
        <w:tc>
          <w:tcPr>
            <w:tcW w:w="1140" w:type="dxa"/>
            <w:noWrap w:val="0"/>
            <w:vAlign w:val="center"/>
          </w:tcPr>
          <w:p w14:paraId="6E50316C">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935" w:type="dxa"/>
            <w:noWrap w:val="0"/>
            <w:vAlign w:val="center"/>
          </w:tcPr>
          <w:p w14:paraId="27F62D65">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一个月检测一次</w:t>
            </w:r>
          </w:p>
        </w:tc>
      </w:tr>
      <w:tr w14:paraId="02738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139" w:type="dxa"/>
            <w:noWrap w:val="0"/>
            <w:vAlign w:val="center"/>
          </w:tcPr>
          <w:p w14:paraId="1A22A7EB">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406" w:type="dxa"/>
            <w:noWrap w:val="0"/>
            <w:vAlign w:val="center"/>
          </w:tcPr>
          <w:p w14:paraId="44D3E3C4">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二级技术保养</w:t>
            </w:r>
          </w:p>
        </w:tc>
        <w:tc>
          <w:tcPr>
            <w:tcW w:w="1140" w:type="dxa"/>
            <w:noWrap w:val="0"/>
            <w:vAlign w:val="center"/>
          </w:tcPr>
          <w:p w14:paraId="7F1F94DB">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4935" w:type="dxa"/>
            <w:noWrap w:val="0"/>
            <w:vAlign w:val="center"/>
          </w:tcPr>
          <w:p w14:paraId="76D50280">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半年检测一次</w:t>
            </w:r>
          </w:p>
        </w:tc>
      </w:tr>
      <w:tr w14:paraId="5F180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9" w:type="dxa"/>
            <w:noWrap w:val="0"/>
            <w:vAlign w:val="center"/>
          </w:tcPr>
          <w:p w14:paraId="130E6B91">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406" w:type="dxa"/>
            <w:noWrap w:val="0"/>
            <w:vAlign w:val="center"/>
          </w:tcPr>
          <w:p w14:paraId="3767DEB6">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三级技术保养</w:t>
            </w:r>
          </w:p>
        </w:tc>
        <w:tc>
          <w:tcPr>
            <w:tcW w:w="1140" w:type="dxa"/>
            <w:noWrap w:val="0"/>
            <w:vAlign w:val="center"/>
          </w:tcPr>
          <w:p w14:paraId="6D125BFE">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935" w:type="dxa"/>
            <w:noWrap w:val="0"/>
            <w:vAlign w:val="center"/>
          </w:tcPr>
          <w:p w14:paraId="62E1B2BF">
            <w:pPr>
              <w:shd w:val="clear" w:color="auto" w:fill="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一年检测一次</w:t>
            </w:r>
          </w:p>
        </w:tc>
      </w:tr>
    </w:tbl>
    <w:p w14:paraId="6A1A4950">
      <w:pPr>
        <w:pStyle w:val="66"/>
        <w:shd w:val="clear" w:color="auto" w:fill="auto"/>
        <w:spacing w:before="156" w:after="156" w:line="440" w:lineRule="exact"/>
        <w:ind w:firstLine="630" w:firstLineChars="300"/>
        <w:rPr>
          <w:rFonts w:hint="eastAsia" w:ascii="宋体" w:hAnsi="宋体" w:eastAsia="宋体" w:cs="宋体"/>
          <w:color w:val="auto"/>
          <w:sz w:val="21"/>
          <w:szCs w:val="21"/>
          <w:highlight w:val="none"/>
        </w:rPr>
      </w:pPr>
    </w:p>
    <w:p w14:paraId="4273951B">
      <w:pPr>
        <w:pStyle w:val="66"/>
        <w:shd w:val="clear" w:color="auto" w:fill="auto"/>
        <w:spacing w:before="156" w:after="156" w:line="440" w:lineRule="exact"/>
        <w:ind w:firstLine="3150" w:firstLineChars="15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消防设施定期维护要求</w:t>
      </w:r>
    </w:p>
    <w:tbl>
      <w:tblPr>
        <w:tblStyle w:val="24"/>
        <w:tblW w:w="96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2401"/>
        <w:gridCol w:w="1137"/>
        <w:gridCol w:w="4925"/>
      </w:tblGrid>
      <w:tr w14:paraId="17565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37" w:type="dxa"/>
            <w:tcBorders>
              <w:top w:val="single" w:color="auto" w:sz="8" w:space="0"/>
              <w:bottom w:val="single" w:color="auto" w:sz="8" w:space="0"/>
            </w:tcBorders>
            <w:noWrap w:val="0"/>
            <w:vAlign w:val="center"/>
          </w:tcPr>
          <w:p w14:paraId="656FC3EE">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401" w:type="dxa"/>
            <w:tcBorders>
              <w:top w:val="single" w:color="auto" w:sz="8" w:space="0"/>
              <w:bottom w:val="single" w:color="auto" w:sz="8" w:space="0"/>
            </w:tcBorders>
            <w:noWrap w:val="0"/>
            <w:vAlign w:val="center"/>
          </w:tcPr>
          <w:p w14:paraId="09785338">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检查保养项目</w:t>
            </w:r>
          </w:p>
        </w:tc>
        <w:tc>
          <w:tcPr>
            <w:tcW w:w="1137" w:type="dxa"/>
            <w:tcBorders>
              <w:top w:val="single" w:color="auto" w:sz="8" w:space="0"/>
              <w:bottom w:val="single" w:color="auto" w:sz="8" w:space="0"/>
            </w:tcBorders>
            <w:noWrap w:val="0"/>
            <w:vAlign w:val="center"/>
          </w:tcPr>
          <w:p w14:paraId="35AE034D">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周期</w:t>
            </w:r>
          </w:p>
        </w:tc>
        <w:tc>
          <w:tcPr>
            <w:tcW w:w="4925" w:type="dxa"/>
            <w:tcBorders>
              <w:top w:val="single" w:color="auto" w:sz="8" w:space="0"/>
              <w:bottom w:val="single" w:color="auto" w:sz="8" w:space="0"/>
            </w:tcBorders>
            <w:noWrap w:val="0"/>
            <w:vAlign w:val="center"/>
          </w:tcPr>
          <w:p w14:paraId="0771C57E">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具体保养内容</w:t>
            </w:r>
          </w:p>
        </w:tc>
      </w:tr>
      <w:tr w14:paraId="5E13B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37" w:type="dxa"/>
            <w:tcBorders>
              <w:top w:val="single" w:color="auto" w:sz="8" w:space="0"/>
            </w:tcBorders>
            <w:noWrap w:val="0"/>
            <w:vAlign w:val="center"/>
          </w:tcPr>
          <w:p w14:paraId="1F15ACF7">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01" w:type="dxa"/>
            <w:tcBorders>
              <w:top w:val="single" w:color="auto" w:sz="8" w:space="0"/>
            </w:tcBorders>
            <w:noWrap w:val="0"/>
            <w:vAlign w:val="center"/>
          </w:tcPr>
          <w:p w14:paraId="32F8B60D">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水泵</w:t>
            </w:r>
          </w:p>
        </w:tc>
        <w:tc>
          <w:tcPr>
            <w:tcW w:w="1137" w:type="dxa"/>
            <w:tcBorders>
              <w:top w:val="single" w:color="auto" w:sz="8" w:space="0"/>
            </w:tcBorders>
            <w:noWrap w:val="0"/>
            <w:vAlign w:val="center"/>
          </w:tcPr>
          <w:p w14:paraId="3886E5C7">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4925" w:type="dxa"/>
            <w:tcBorders>
              <w:top w:val="single" w:color="auto" w:sz="8" w:space="0"/>
            </w:tcBorders>
            <w:noWrap w:val="0"/>
            <w:vAlign w:val="center"/>
          </w:tcPr>
          <w:p w14:paraId="0184AE9D">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动力正常</w:t>
            </w:r>
          </w:p>
        </w:tc>
      </w:tr>
      <w:tr w14:paraId="021C7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37" w:type="dxa"/>
            <w:noWrap w:val="0"/>
            <w:vAlign w:val="center"/>
          </w:tcPr>
          <w:p w14:paraId="6909E7FB">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01" w:type="dxa"/>
            <w:noWrap w:val="0"/>
            <w:vAlign w:val="center"/>
          </w:tcPr>
          <w:p w14:paraId="0368D2CF">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压力仪表</w:t>
            </w:r>
          </w:p>
        </w:tc>
        <w:tc>
          <w:tcPr>
            <w:tcW w:w="1137" w:type="dxa"/>
            <w:noWrap w:val="0"/>
            <w:vAlign w:val="center"/>
          </w:tcPr>
          <w:p w14:paraId="563BFEA4">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4925" w:type="dxa"/>
            <w:noWrap w:val="0"/>
            <w:vAlign w:val="center"/>
          </w:tcPr>
          <w:p w14:paraId="0FE0CCD9">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显示正常，压力在正常范围内。</w:t>
            </w:r>
          </w:p>
        </w:tc>
      </w:tr>
      <w:tr w14:paraId="42878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37" w:type="dxa"/>
            <w:noWrap w:val="0"/>
            <w:vAlign w:val="center"/>
          </w:tcPr>
          <w:p w14:paraId="3010960E">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01" w:type="dxa"/>
            <w:noWrap w:val="0"/>
            <w:vAlign w:val="center"/>
          </w:tcPr>
          <w:p w14:paraId="61CEAE9E">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控制回路</w:t>
            </w:r>
          </w:p>
        </w:tc>
        <w:tc>
          <w:tcPr>
            <w:tcW w:w="1137" w:type="dxa"/>
            <w:noWrap w:val="0"/>
            <w:vAlign w:val="center"/>
          </w:tcPr>
          <w:p w14:paraId="4E5EA820">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4925" w:type="dxa"/>
            <w:noWrap w:val="0"/>
            <w:vAlign w:val="center"/>
          </w:tcPr>
          <w:p w14:paraId="66C0DD76">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压接良好、标号清晰，绝缘无变色老化</w:t>
            </w:r>
          </w:p>
        </w:tc>
      </w:tr>
      <w:tr w14:paraId="07E89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37" w:type="dxa"/>
            <w:noWrap w:val="0"/>
            <w:vAlign w:val="center"/>
          </w:tcPr>
          <w:p w14:paraId="151D53C0">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01" w:type="dxa"/>
            <w:noWrap w:val="0"/>
            <w:vAlign w:val="center"/>
          </w:tcPr>
          <w:p w14:paraId="0D07FCD2">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指示灯</w:t>
            </w:r>
          </w:p>
        </w:tc>
        <w:tc>
          <w:tcPr>
            <w:tcW w:w="1137" w:type="dxa"/>
            <w:noWrap w:val="0"/>
            <w:vAlign w:val="center"/>
          </w:tcPr>
          <w:p w14:paraId="1BA2FA83">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4925" w:type="dxa"/>
            <w:noWrap w:val="0"/>
            <w:vAlign w:val="center"/>
          </w:tcPr>
          <w:p w14:paraId="0E26086F">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无红色故障灯</w:t>
            </w:r>
          </w:p>
        </w:tc>
      </w:tr>
      <w:tr w14:paraId="72B20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37" w:type="dxa"/>
            <w:noWrap w:val="0"/>
            <w:vAlign w:val="center"/>
          </w:tcPr>
          <w:p w14:paraId="1D485D54">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401" w:type="dxa"/>
            <w:noWrap w:val="0"/>
            <w:vAlign w:val="center"/>
          </w:tcPr>
          <w:p w14:paraId="099101E3">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水箱</w:t>
            </w:r>
          </w:p>
        </w:tc>
        <w:tc>
          <w:tcPr>
            <w:tcW w:w="1137" w:type="dxa"/>
            <w:noWrap w:val="0"/>
            <w:vAlign w:val="center"/>
          </w:tcPr>
          <w:p w14:paraId="4531A524">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月</w:t>
            </w:r>
          </w:p>
        </w:tc>
        <w:tc>
          <w:tcPr>
            <w:tcW w:w="4925" w:type="dxa"/>
            <w:noWrap w:val="0"/>
            <w:vAlign w:val="center"/>
          </w:tcPr>
          <w:p w14:paraId="3EEA706D">
            <w:pPr>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水位正常</w:t>
            </w:r>
          </w:p>
        </w:tc>
      </w:tr>
    </w:tbl>
    <w:p w14:paraId="1B8D05B8">
      <w:pPr>
        <w:shd w:val="clear" w:color="auto" w:fill="auto"/>
        <w:rPr>
          <w:rFonts w:hint="eastAsia" w:ascii="宋体" w:hAnsi="宋体" w:eastAsia="宋体" w:cs="宋体"/>
          <w:color w:val="auto"/>
          <w:sz w:val="21"/>
          <w:szCs w:val="21"/>
          <w:highlight w:val="none"/>
        </w:rPr>
      </w:pPr>
    </w:p>
    <w:p w14:paraId="028C9E54">
      <w:pPr>
        <w:shd w:val="clear" w:color="auto" w:fill="auto"/>
        <w:rPr>
          <w:rFonts w:hint="eastAsia" w:ascii="宋体" w:hAnsi="宋体" w:eastAsia="宋体" w:cs="宋体"/>
          <w:color w:val="auto"/>
          <w:sz w:val="21"/>
          <w:szCs w:val="21"/>
          <w:highlight w:val="none"/>
        </w:rPr>
      </w:pPr>
    </w:p>
    <w:p w14:paraId="0E1703E2">
      <w:pPr>
        <w:shd w:val="clear" w:color="auto" w:fill="auto"/>
        <w:rPr>
          <w:rFonts w:hint="eastAsia" w:ascii="宋体" w:hAnsi="宋体" w:eastAsia="宋体" w:cs="宋体"/>
          <w:color w:val="auto"/>
          <w:sz w:val="21"/>
          <w:szCs w:val="21"/>
          <w:highlight w:val="none"/>
        </w:rPr>
      </w:pPr>
    </w:p>
    <w:p w14:paraId="1FA62ADC">
      <w:pPr>
        <w:shd w:val="clear" w:color="auto" w:fill="auto"/>
        <w:rPr>
          <w:rFonts w:hint="eastAsia" w:ascii="宋体" w:hAnsi="宋体" w:eastAsia="宋体" w:cs="宋体"/>
          <w:color w:val="auto"/>
          <w:sz w:val="21"/>
          <w:szCs w:val="21"/>
          <w:highlight w:val="none"/>
        </w:rPr>
      </w:pPr>
    </w:p>
    <w:p w14:paraId="0AC4DCE8">
      <w:pPr>
        <w:shd w:val="clear" w:color="auto" w:fill="auto"/>
        <w:rPr>
          <w:rFonts w:hint="eastAsia" w:ascii="宋体" w:hAnsi="宋体" w:eastAsia="宋体" w:cs="宋体"/>
          <w:color w:val="auto"/>
          <w:sz w:val="21"/>
          <w:szCs w:val="21"/>
          <w:highlight w:val="none"/>
        </w:rPr>
      </w:pPr>
    </w:p>
    <w:p w14:paraId="087B72D6">
      <w:pPr>
        <w:shd w:val="clear" w:color="auto" w:fill="auto"/>
        <w:rPr>
          <w:rFonts w:hint="eastAsia" w:ascii="宋体" w:hAnsi="宋体" w:eastAsia="宋体" w:cs="宋体"/>
          <w:color w:val="auto"/>
          <w:sz w:val="21"/>
          <w:szCs w:val="21"/>
          <w:highlight w:val="none"/>
        </w:rPr>
      </w:pPr>
    </w:p>
    <w:p w14:paraId="4D222EEE">
      <w:pPr>
        <w:shd w:val="clear" w:color="auto" w:fill="auto"/>
        <w:rPr>
          <w:rFonts w:hint="eastAsia" w:ascii="宋体" w:hAnsi="宋体" w:eastAsia="宋体" w:cs="宋体"/>
          <w:color w:val="auto"/>
          <w:sz w:val="21"/>
          <w:szCs w:val="21"/>
          <w:highlight w:val="none"/>
        </w:rPr>
      </w:pPr>
    </w:p>
    <w:p w14:paraId="09F63CD1">
      <w:pPr>
        <w:shd w:val="clear" w:color="auto" w:fill="auto"/>
        <w:rPr>
          <w:rFonts w:hint="eastAsia" w:ascii="宋体" w:hAnsi="宋体" w:eastAsia="宋体" w:cs="宋体"/>
          <w:color w:val="auto"/>
          <w:sz w:val="21"/>
          <w:szCs w:val="21"/>
          <w:highlight w:val="none"/>
        </w:rPr>
      </w:pPr>
    </w:p>
    <w:p w14:paraId="43DF32DF">
      <w:pPr>
        <w:shd w:val="clear" w:color="auto" w:fill="auto"/>
        <w:rPr>
          <w:rFonts w:hint="eastAsia" w:ascii="宋体" w:hAnsi="宋体" w:eastAsia="宋体" w:cs="宋体"/>
          <w:color w:val="auto"/>
          <w:sz w:val="21"/>
          <w:szCs w:val="21"/>
          <w:highlight w:val="none"/>
        </w:rPr>
      </w:pPr>
    </w:p>
    <w:p w14:paraId="792B578A">
      <w:pPr>
        <w:shd w:val="clear" w:color="auto" w:fill="auto"/>
        <w:rPr>
          <w:rFonts w:hint="eastAsia" w:ascii="宋体" w:hAnsi="宋体" w:eastAsia="宋体" w:cs="宋体"/>
          <w:color w:val="auto"/>
          <w:sz w:val="21"/>
          <w:szCs w:val="21"/>
          <w:highlight w:val="none"/>
        </w:rPr>
      </w:pPr>
    </w:p>
    <w:p w14:paraId="1B85BCAA">
      <w:pPr>
        <w:shd w:val="clear" w:color="auto" w:fill="auto"/>
        <w:rPr>
          <w:rFonts w:hint="eastAsia" w:ascii="宋体" w:hAnsi="宋体" w:eastAsia="宋体" w:cs="宋体"/>
          <w:color w:val="auto"/>
          <w:sz w:val="21"/>
          <w:szCs w:val="21"/>
          <w:highlight w:val="none"/>
        </w:rPr>
      </w:pPr>
    </w:p>
    <w:p w14:paraId="5A6A49EE">
      <w:pPr>
        <w:shd w:val="clear" w:color="auto" w:fill="auto"/>
        <w:rPr>
          <w:rFonts w:hint="eastAsia" w:ascii="宋体" w:hAnsi="宋体" w:eastAsia="宋体" w:cs="宋体"/>
          <w:color w:val="auto"/>
          <w:sz w:val="21"/>
          <w:szCs w:val="21"/>
          <w:highlight w:val="none"/>
        </w:rPr>
      </w:pPr>
    </w:p>
    <w:p w14:paraId="247EBA9C">
      <w:pPr>
        <w:shd w:val="clear" w:color="auto" w:fill="auto"/>
        <w:rPr>
          <w:rFonts w:hint="eastAsia" w:ascii="宋体" w:hAnsi="宋体" w:eastAsia="宋体" w:cs="宋体"/>
          <w:color w:val="auto"/>
          <w:sz w:val="21"/>
          <w:szCs w:val="21"/>
          <w:highlight w:val="none"/>
        </w:rPr>
      </w:pPr>
    </w:p>
    <w:p w14:paraId="6ABEDEE4">
      <w:pPr>
        <w:shd w:val="clear" w:color="auto" w:fill="auto"/>
        <w:rPr>
          <w:rFonts w:hint="eastAsia" w:ascii="宋体" w:hAnsi="宋体" w:eastAsia="宋体" w:cs="宋体"/>
          <w:color w:val="auto"/>
          <w:sz w:val="21"/>
          <w:szCs w:val="21"/>
          <w:highlight w:val="none"/>
        </w:rPr>
      </w:pPr>
    </w:p>
    <w:p w14:paraId="40775A68">
      <w:pPr>
        <w:shd w:val="clear" w:color="auto" w:fill="auto"/>
        <w:rPr>
          <w:rFonts w:hint="eastAsia" w:ascii="宋体" w:hAnsi="宋体" w:eastAsia="宋体" w:cs="宋体"/>
          <w:color w:val="auto"/>
          <w:sz w:val="21"/>
          <w:szCs w:val="21"/>
          <w:highlight w:val="none"/>
        </w:rPr>
      </w:pPr>
    </w:p>
    <w:p w14:paraId="4F4A3CAD">
      <w:pPr>
        <w:shd w:val="clear" w:color="auto" w:fill="auto"/>
        <w:rPr>
          <w:rFonts w:hint="eastAsia" w:ascii="宋体" w:hAnsi="宋体" w:eastAsia="宋体" w:cs="宋体"/>
          <w:color w:val="auto"/>
          <w:sz w:val="21"/>
          <w:szCs w:val="21"/>
          <w:highlight w:val="none"/>
        </w:rPr>
      </w:pPr>
    </w:p>
    <w:p w14:paraId="21B457CF">
      <w:pPr>
        <w:shd w:val="clear" w:color="auto" w:fill="auto"/>
        <w:rPr>
          <w:rFonts w:hint="eastAsia" w:ascii="宋体" w:hAnsi="宋体" w:eastAsia="宋体" w:cs="宋体"/>
          <w:color w:val="auto"/>
          <w:sz w:val="21"/>
          <w:szCs w:val="21"/>
          <w:highlight w:val="none"/>
        </w:rPr>
      </w:pPr>
    </w:p>
    <w:p w14:paraId="7C5BCDC2">
      <w:pPr>
        <w:shd w:val="clear" w:color="auto" w:fill="auto"/>
        <w:rPr>
          <w:rFonts w:hint="eastAsia" w:ascii="宋体" w:hAnsi="宋体" w:eastAsia="宋体" w:cs="宋体"/>
          <w:color w:val="auto"/>
          <w:sz w:val="21"/>
          <w:szCs w:val="21"/>
          <w:highlight w:val="none"/>
        </w:rPr>
      </w:pPr>
    </w:p>
    <w:p w14:paraId="6AA5AEF6">
      <w:pPr>
        <w:shd w:val="clear" w:color="auto" w:fill="auto"/>
        <w:rPr>
          <w:rFonts w:hint="eastAsia" w:ascii="宋体" w:hAnsi="宋体" w:eastAsia="宋体" w:cs="宋体"/>
          <w:color w:val="auto"/>
          <w:sz w:val="21"/>
          <w:szCs w:val="21"/>
          <w:highlight w:val="none"/>
        </w:rPr>
      </w:pPr>
    </w:p>
    <w:p w14:paraId="0FAB170A">
      <w:pPr>
        <w:shd w:val="clear" w:color="auto" w:fill="auto"/>
        <w:rPr>
          <w:rFonts w:hint="eastAsia" w:ascii="宋体" w:hAnsi="宋体" w:eastAsia="宋体" w:cs="宋体"/>
          <w:color w:val="auto"/>
          <w:sz w:val="21"/>
          <w:szCs w:val="21"/>
          <w:highlight w:val="none"/>
        </w:rPr>
      </w:pPr>
    </w:p>
    <w:p w14:paraId="632A7121">
      <w:pPr>
        <w:shd w:val="clear" w:color="auto" w:fill="auto"/>
        <w:rPr>
          <w:rFonts w:hint="eastAsia" w:ascii="宋体" w:hAnsi="宋体" w:eastAsia="宋体" w:cs="宋体"/>
          <w:color w:val="auto"/>
          <w:sz w:val="21"/>
          <w:szCs w:val="21"/>
          <w:highlight w:val="none"/>
        </w:rPr>
      </w:pPr>
    </w:p>
    <w:p w14:paraId="4FFB155A">
      <w:pPr>
        <w:shd w:val="clear" w:color="auto" w:fill="auto"/>
        <w:rPr>
          <w:rFonts w:hint="eastAsia" w:ascii="宋体" w:hAnsi="宋体" w:eastAsia="宋体" w:cs="宋体"/>
          <w:color w:val="auto"/>
          <w:sz w:val="22"/>
          <w:szCs w:val="22"/>
          <w:highlight w:val="none"/>
        </w:rPr>
      </w:pPr>
    </w:p>
    <w:p w14:paraId="4C837CFB">
      <w:pPr>
        <w:shd w:val="clear" w:color="auto" w:fill="auto"/>
        <w:rPr>
          <w:rFonts w:hint="eastAsia" w:ascii="宋体" w:hAnsi="宋体" w:eastAsia="宋体" w:cs="宋体"/>
          <w:color w:val="auto"/>
          <w:sz w:val="22"/>
          <w:szCs w:val="22"/>
          <w:highlight w:val="none"/>
        </w:rPr>
      </w:pPr>
    </w:p>
    <w:p w14:paraId="4B2FFC92">
      <w:pPr>
        <w:shd w:val="clear" w:color="auto" w:fill="auto"/>
        <w:rPr>
          <w:rFonts w:hint="eastAsia" w:ascii="宋体" w:hAnsi="宋体" w:eastAsia="宋体" w:cs="宋体"/>
          <w:color w:val="auto"/>
          <w:sz w:val="22"/>
          <w:szCs w:val="22"/>
          <w:highlight w:val="none"/>
        </w:rPr>
      </w:pPr>
    </w:p>
    <w:p w14:paraId="2F0EBED0">
      <w:pPr>
        <w:shd w:val="clear" w:color="auto" w:fill="auto"/>
        <w:rPr>
          <w:rFonts w:hint="eastAsia" w:ascii="宋体" w:hAnsi="宋体" w:eastAsia="宋体" w:cs="宋体"/>
          <w:color w:val="auto"/>
          <w:sz w:val="22"/>
          <w:szCs w:val="22"/>
          <w:highlight w:val="none"/>
        </w:rPr>
      </w:pPr>
    </w:p>
    <w:p w14:paraId="417C0B66">
      <w:pPr>
        <w:shd w:val="clear" w:color="auto" w:fill="auto"/>
        <w:rPr>
          <w:rFonts w:hint="eastAsia" w:ascii="宋体" w:hAnsi="宋体" w:eastAsia="宋体" w:cs="宋体"/>
          <w:color w:val="auto"/>
          <w:sz w:val="22"/>
          <w:szCs w:val="22"/>
          <w:highlight w:val="none"/>
        </w:rPr>
      </w:pPr>
    </w:p>
    <w:p w14:paraId="57E1BF8E">
      <w:pPr>
        <w:shd w:val="clear" w:color="auto" w:fill="auto"/>
        <w:rPr>
          <w:rFonts w:hint="eastAsia" w:ascii="宋体" w:hAnsi="宋体" w:eastAsia="宋体" w:cs="宋体"/>
          <w:color w:val="auto"/>
          <w:sz w:val="22"/>
          <w:szCs w:val="22"/>
          <w:highlight w:val="none"/>
        </w:rPr>
      </w:pPr>
    </w:p>
    <w:p w14:paraId="6F4207FC">
      <w:pPr>
        <w:shd w:val="clear" w:color="auto" w:fill="auto"/>
        <w:rPr>
          <w:rFonts w:hint="eastAsia" w:ascii="宋体" w:hAnsi="宋体" w:eastAsia="宋体" w:cs="宋体"/>
          <w:color w:val="auto"/>
          <w:sz w:val="22"/>
          <w:szCs w:val="22"/>
          <w:highlight w:val="none"/>
        </w:rPr>
      </w:pPr>
    </w:p>
    <w:p w14:paraId="1D75ABA6">
      <w:pPr>
        <w:shd w:val="clear" w:color="auto" w:fill="auto"/>
        <w:rPr>
          <w:rFonts w:hint="eastAsia" w:ascii="宋体" w:hAnsi="宋体" w:eastAsia="宋体" w:cs="宋体"/>
          <w:color w:val="auto"/>
          <w:sz w:val="22"/>
          <w:szCs w:val="22"/>
          <w:highlight w:val="none"/>
        </w:rPr>
      </w:pPr>
    </w:p>
    <w:p w14:paraId="64116808">
      <w:pPr>
        <w:shd w:val="clear" w:color="auto" w:fill="auto"/>
        <w:rPr>
          <w:rFonts w:hint="eastAsia" w:ascii="宋体" w:hAnsi="宋体" w:eastAsia="宋体" w:cs="宋体"/>
          <w:color w:val="auto"/>
          <w:sz w:val="22"/>
          <w:szCs w:val="22"/>
          <w:highlight w:val="none"/>
        </w:rPr>
      </w:pPr>
    </w:p>
    <w:p w14:paraId="24D473F7">
      <w:pPr>
        <w:shd w:val="clear" w:color="auto" w:fill="auto"/>
        <w:rPr>
          <w:rFonts w:hint="eastAsia" w:ascii="宋体" w:hAnsi="宋体" w:eastAsia="宋体" w:cs="宋体"/>
          <w:color w:val="auto"/>
          <w:sz w:val="22"/>
          <w:szCs w:val="22"/>
          <w:highlight w:val="none"/>
        </w:rPr>
      </w:pPr>
    </w:p>
    <w:p w14:paraId="0CF68CEF">
      <w:pPr>
        <w:shd w:val="clear" w:color="auto" w:fill="auto"/>
        <w:rPr>
          <w:rFonts w:hint="eastAsia" w:ascii="宋体" w:hAnsi="宋体" w:eastAsia="宋体" w:cs="宋体"/>
          <w:color w:val="auto"/>
          <w:sz w:val="22"/>
          <w:szCs w:val="22"/>
          <w:highlight w:val="none"/>
        </w:rPr>
      </w:pPr>
    </w:p>
    <w:p w14:paraId="42A07C78">
      <w:pPr>
        <w:shd w:val="clear" w:color="auto" w:fill="auto"/>
        <w:rPr>
          <w:rFonts w:hint="eastAsia" w:ascii="宋体" w:hAnsi="宋体" w:eastAsia="宋体" w:cs="宋体"/>
          <w:color w:val="auto"/>
          <w:sz w:val="22"/>
          <w:szCs w:val="22"/>
          <w:highlight w:val="none"/>
        </w:rPr>
      </w:pPr>
    </w:p>
    <w:p w14:paraId="1D770780">
      <w:pPr>
        <w:shd w:val="clear" w:color="auto" w:fill="auto"/>
        <w:rPr>
          <w:rFonts w:hint="eastAsia" w:ascii="宋体" w:hAnsi="宋体" w:eastAsia="宋体" w:cs="宋体"/>
          <w:color w:val="auto"/>
          <w:sz w:val="22"/>
          <w:szCs w:val="22"/>
          <w:highlight w:val="none"/>
        </w:rPr>
      </w:pPr>
    </w:p>
    <w:p w14:paraId="2CB13175">
      <w:pPr>
        <w:shd w:val="clear" w:color="auto" w:fil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附件四、停车区物业管理考核办法（以甲方下发的最新版本为准）</w:t>
      </w:r>
    </w:p>
    <w:p w14:paraId="11DAFF6A">
      <w:pPr>
        <w:shd w:val="clear" w:color="auto" w:fill="auto"/>
        <w:jc w:val="center"/>
        <w:rPr>
          <w:rFonts w:hint="eastAsia" w:ascii="宋体" w:hAnsi="宋体" w:eastAsia="宋体" w:cs="宋体"/>
          <w:color w:val="auto"/>
          <w:highlight w:val="none"/>
        </w:rPr>
      </w:pPr>
      <w:r>
        <w:rPr>
          <w:rFonts w:hint="eastAsia" w:ascii="宋体" w:hAnsi="宋体" w:eastAsia="宋体" w:cs="宋体"/>
          <w:bCs/>
          <w:color w:val="auto"/>
          <w:sz w:val="36"/>
          <w:szCs w:val="36"/>
          <w:highlight w:val="none"/>
          <w:lang w:val="zh-CN"/>
        </w:rPr>
        <w:t>停车区物业管理考核办法</w:t>
      </w:r>
    </w:p>
    <w:p w14:paraId="1A392018">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一、以《高速公路停车区物业考核细则保安考核细则》和《浙江省高速公路</w:t>
      </w:r>
      <w:r>
        <w:rPr>
          <w:rFonts w:hint="eastAsia" w:ascii="宋体" w:hAnsi="宋体" w:eastAsia="宋体" w:cs="宋体"/>
          <w:color w:val="auto"/>
          <w:kern w:val="0"/>
          <w:sz w:val="22"/>
          <w:szCs w:val="22"/>
          <w:highlight w:val="none"/>
          <w:lang w:eastAsia="zh-CN"/>
        </w:rPr>
        <w:t>停车区</w:t>
      </w:r>
      <w:r>
        <w:rPr>
          <w:rFonts w:hint="eastAsia" w:ascii="宋体" w:hAnsi="宋体" w:eastAsia="宋体" w:cs="宋体"/>
          <w:color w:val="auto"/>
          <w:kern w:val="0"/>
          <w:sz w:val="22"/>
          <w:szCs w:val="22"/>
          <w:highlight w:val="none"/>
        </w:rPr>
        <w:t>质量评定考核细则》进行考核，评分采取每月150分满分制，由甲方停车区组织对物业项进行月度考核，季度汇总。</w:t>
      </w:r>
    </w:p>
    <w:p w14:paraId="3A5B236A">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考核方式：通过停车区日常考核、月度及季度考核相结合，通过日常检查，对物业管理存在问题以《稽查处罚单》告知物业项目部，每月底累积扣分数总计（单项考核可以累积扣分，扣完为止），得出该月度考核分数。</w:t>
      </w:r>
    </w:p>
    <w:p w14:paraId="4E69735F">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三、考核周期：以月度自然天数为周期限，季度汇总。</w:t>
      </w:r>
    </w:p>
    <w:p w14:paraId="4687C715">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四、考核小组：组长：停车区主任；副组长：分管物业管理人员；成员：停车区管理人员；</w:t>
      </w:r>
    </w:p>
    <w:p w14:paraId="362C7238">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五、物业服务公司对评分有异议的，可向停车区主管部门申请复核，经复核改变评分结果的，应予变更或消除。</w:t>
      </w:r>
    </w:p>
    <w:p w14:paraId="66072B18">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六、评分考核表作为服务合同信用档案的组成部分，检查考核小组有责任向物业服务部门阐明不符合要求项的原因并提出整改建议和意见。 </w:t>
      </w:r>
    </w:p>
    <w:p w14:paraId="4A1302D7">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七、奖罚措施</w:t>
      </w:r>
    </w:p>
    <w:p w14:paraId="2947B0AC">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停车区物业项目季度考核作为物业合同约定考核的重要依据，现场管理人员统计汇总停车区考核情况当季物业考核总分。</w:t>
      </w:r>
    </w:p>
    <w:p w14:paraId="2575003C">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1、定义</w:t>
      </w:r>
    </w:p>
    <w:p w14:paraId="7549D593">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1）停车区当年合同费用折算为季度费用的90%作为基本物业费。</w:t>
      </w:r>
    </w:p>
    <w:p w14:paraId="40FCBD81">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2）停车区当年合同费用折算为季度费用的10%作为考核奖。</w:t>
      </w:r>
    </w:p>
    <w:p w14:paraId="4C1A5784">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3）单项考核分数可累计扣分，以单项总分数扣完为止。</w:t>
      </w:r>
    </w:p>
    <w:p w14:paraId="0FB7B233">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2、考核标准</w:t>
      </w:r>
    </w:p>
    <w:p w14:paraId="3C7FF384">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1）按若考核分发放物业考核奖</w:t>
      </w:r>
    </w:p>
    <w:p w14:paraId="1C1FBE87">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2）若连续两个月或半年内有两次月度考核分105分以下（不含105分），采购人有权单方面终止合同。</w:t>
      </w:r>
    </w:p>
    <w:p w14:paraId="258B34B9">
      <w:pPr>
        <w:shd w:val="clear" w:color="auto" w:fill="auto"/>
        <w:autoSpaceDE w:val="0"/>
        <w:autoSpaceDN w:val="0"/>
        <w:adjustRightInd w:val="0"/>
        <w:snapToGrid w:val="0"/>
        <w:spacing w:line="44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3、考核奖标准</w:t>
      </w:r>
    </w:p>
    <w:p w14:paraId="49206B80">
      <w:pPr>
        <w:shd w:val="clear" w:color="auto" w:fill="auto"/>
        <w:ind w:left="284"/>
        <w:jc w:val="center"/>
        <w:rPr>
          <w:rFonts w:hint="eastAsia" w:ascii="宋体" w:hAnsi="宋体" w:eastAsia="宋体" w:cs="宋体"/>
          <w:b/>
          <w:color w:val="auto"/>
          <w:highlight w:val="none"/>
        </w:rPr>
      </w:pPr>
      <w:r>
        <w:rPr>
          <w:rFonts w:hint="eastAsia" w:ascii="宋体" w:hAnsi="宋体" w:eastAsia="宋体" w:cs="宋体"/>
          <w:b/>
          <w:color w:val="auto"/>
          <w:highlight w:val="none"/>
        </w:rPr>
        <w:t>考核奖标准表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4"/>
        <w:gridCol w:w="4296"/>
      </w:tblGrid>
      <w:tr w14:paraId="39A4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02B56469">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考核分数</w:t>
            </w:r>
          </w:p>
        </w:tc>
        <w:tc>
          <w:tcPr>
            <w:tcW w:w="4296" w:type="dxa"/>
            <w:noWrap w:val="0"/>
            <w:vAlign w:val="center"/>
          </w:tcPr>
          <w:p w14:paraId="0D956B20">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考核奖</w:t>
            </w:r>
          </w:p>
        </w:tc>
      </w:tr>
      <w:tr w14:paraId="7E6E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7957D18C">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150-135分</w:t>
            </w:r>
          </w:p>
        </w:tc>
        <w:tc>
          <w:tcPr>
            <w:tcW w:w="4296" w:type="dxa"/>
            <w:noWrap w:val="0"/>
            <w:vAlign w:val="center"/>
          </w:tcPr>
          <w:p w14:paraId="7FA6E7D5">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全额</w:t>
            </w:r>
          </w:p>
        </w:tc>
      </w:tr>
      <w:tr w14:paraId="7967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4722C158">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135-120分（包括120分）</w:t>
            </w:r>
          </w:p>
        </w:tc>
        <w:tc>
          <w:tcPr>
            <w:tcW w:w="4296" w:type="dxa"/>
            <w:noWrap w:val="0"/>
            <w:vAlign w:val="center"/>
          </w:tcPr>
          <w:p w14:paraId="0E464B54">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考核奖全额*（90%）</w:t>
            </w:r>
          </w:p>
        </w:tc>
      </w:tr>
      <w:tr w14:paraId="6CBC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30941E15">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120-105分（包括105分）</w:t>
            </w:r>
          </w:p>
        </w:tc>
        <w:tc>
          <w:tcPr>
            <w:tcW w:w="4296" w:type="dxa"/>
            <w:noWrap w:val="0"/>
            <w:vAlign w:val="center"/>
          </w:tcPr>
          <w:p w14:paraId="28045917">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考核奖全额*（70%）</w:t>
            </w:r>
          </w:p>
        </w:tc>
      </w:tr>
      <w:tr w14:paraId="33BA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22F0C68D">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105-90分（包括90分）</w:t>
            </w:r>
          </w:p>
        </w:tc>
        <w:tc>
          <w:tcPr>
            <w:tcW w:w="4296" w:type="dxa"/>
            <w:noWrap w:val="0"/>
            <w:vAlign w:val="center"/>
          </w:tcPr>
          <w:p w14:paraId="1866E226">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考核奖全额*（50%）</w:t>
            </w:r>
          </w:p>
        </w:tc>
      </w:tr>
      <w:tr w14:paraId="55FC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23B0A4E1">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90-75分（包括75分</w:t>
            </w:r>
          </w:p>
        </w:tc>
        <w:tc>
          <w:tcPr>
            <w:tcW w:w="4296" w:type="dxa"/>
            <w:noWrap w:val="0"/>
            <w:vAlign w:val="center"/>
          </w:tcPr>
          <w:p w14:paraId="7B01B83C">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考核奖全额*（30%）</w:t>
            </w:r>
          </w:p>
        </w:tc>
      </w:tr>
      <w:tr w14:paraId="7A06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4F209E0C">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75分以下</w:t>
            </w:r>
          </w:p>
        </w:tc>
        <w:tc>
          <w:tcPr>
            <w:tcW w:w="4296" w:type="dxa"/>
            <w:noWrap w:val="0"/>
            <w:vAlign w:val="center"/>
          </w:tcPr>
          <w:p w14:paraId="6EB74C4C">
            <w:pPr>
              <w:shd w:val="clear" w:color="auto" w:fill="auto"/>
              <w:autoSpaceDE w:val="0"/>
              <w:autoSpaceDN w:val="0"/>
              <w:adjustRightInd w:val="0"/>
              <w:snapToGrid w:val="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0</w:t>
            </w:r>
          </w:p>
        </w:tc>
      </w:tr>
    </w:tbl>
    <w:p w14:paraId="5734AA81">
      <w:pPr>
        <w:shd w:val="clear" w:color="auto" w:fill="auto"/>
        <w:spacing w:line="440" w:lineRule="exact"/>
        <w:ind w:firstLine="440" w:firstLineChars="200"/>
        <w:rPr>
          <w:rFonts w:hint="eastAsia" w:ascii="宋体" w:hAnsi="宋体" w:eastAsia="宋体" w:cs="宋体"/>
          <w:color w:val="auto"/>
          <w:sz w:val="22"/>
          <w:szCs w:val="22"/>
          <w:highlight w:val="none"/>
        </w:rPr>
        <w:sectPr>
          <w:headerReference r:id="rId3" w:type="default"/>
          <w:footerReference r:id="rId4" w:type="default"/>
          <w:pgSz w:w="11906" w:h="16838"/>
          <w:pgMar w:top="1361" w:right="1417" w:bottom="1304" w:left="1417" w:header="680" w:footer="652" w:gutter="0"/>
          <w:cols w:space="0" w:num="1"/>
          <w:rtlGutter w:val="0"/>
          <w:docGrid w:type="lines" w:linePitch="312" w:charSpace="0"/>
        </w:sectPr>
      </w:pPr>
    </w:p>
    <w:p w14:paraId="5AA2ACAF">
      <w:pPr>
        <w:shd w:val="clear" w:color="auto" w:fill="auto"/>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附件五、物业项目部（月）度考核评分表（以甲方下发的最新版本为准） </w:t>
      </w:r>
    </w:p>
    <w:p w14:paraId="01BC3897">
      <w:pPr>
        <w:shd w:val="clear" w:color="auto" w:fill="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2"/>
          <w:szCs w:val="32"/>
          <w:highlight w:val="none"/>
        </w:rPr>
        <w:t>物业项目部（月）度考核评分表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5103"/>
        <w:gridCol w:w="3685"/>
        <w:gridCol w:w="2694"/>
        <w:gridCol w:w="993"/>
      </w:tblGrid>
      <w:tr w14:paraId="3F52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85" w:type="dxa"/>
            <w:gridSpan w:val="2"/>
            <w:noWrap w:val="0"/>
            <w:vAlign w:val="center"/>
          </w:tcPr>
          <w:p w14:paraId="66C48AA5">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bookmarkStart w:id="193" w:name="_Hlk14013497"/>
            <w:r>
              <w:rPr>
                <w:rFonts w:hint="eastAsia" w:ascii="宋体" w:hAnsi="宋体" w:eastAsia="宋体" w:cs="宋体"/>
                <w:b/>
                <w:color w:val="auto"/>
                <w:sz w:val="24"/>
                <w:highlight w:val="none"/>
              </w:rPr>
              <w:t>项目</w:t>
            </w:r>
          </w:p>
        </w:tc>
        <w:tc>
          <w:tcPr>
            <w:tcW w:w="5103" w:type="dxa"/>
            <w:noWrap w:val="0"/>
            <w:vAlign w:val="center"/>
          </w:tcPr>
          <w:p w14:paraId="066EE182">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考核标准</w:t>
            </w:r>
          </w:p>
        </w:tc>
        <w:tc>
          <w:tcPr>
            <w:tcW w:w="3685" w:type="dxa"/>
            <w:noWrap w:val="0"/>
            <w:vAlign w:val="center"/>
          </w:tcPr>
          <w:p w14:paraId="6E5C56F7">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考核办法</w:t>
            </w:r>
          </w:p>
        </w:tc>
        <w:tc>
          <w:tcPr>
            <w:tcW w:w="2694" w:type="dxa"/>
            <w:noWrap w:val="0"/>
            <w:vAlign w:val="top"/>
          </w:tcPr>
          <w:p w14:paraId="4F0CE29B">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扣分事项</w:t>
            </w:r>
          </w:p>
        </w:tc>
        <w:tc>
          <w:tcPr>
            <w:tcW w:w="993" w:type="dxa"/>
            <w:noWrap w:val="0"/>
            <w:vAlign w:val="top"/>
          </w:tcPr>
          <w:p w14:paraId="53A40692">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得分</w:t>
            </w:r>
          </w:p>
        </w:tc>
      </w:tr>
      <w:tr w14:paraId="1CCB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1" w:type="dxa"/>
            <w:vMerge w:val="restart"/>
            <w:noWrap w:val="0"/>
            <w:vAlign w:val="center"/>
          </w:tcPr>
          <w:p w14:paraId="472E5A1D">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总</w:t>
            </w:r>
          </w:p>
          <w:p w14:paraId="3FED65D7">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体</w:t>
            </w:r>
          </w:p>
          <w:p w14:paraId="048D37CA">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要</w:t>
            </w:r>
          </w:p>
          <w:p w14:paraId="11171647">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求</w:t>
            </w:r>
          </w:p>
          <w:p w14:paraId="4FA6E112">
            <w:pPr>
              <w:shd w:val="clear" w:color="auto" w:fill="auto"/>
              <w:spacing w:line="240" w:lineRule="atLeas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（50分）</w:t>
            </w:r>
          </w:p>
        </w:tc>
        <w:tc>
          <w:tcPr>
            <w:tcW w:w="1134" w:type="dxa"/>
            <w:vMerge w:val="restart"/>
            <w:noWrap w:val="0"/>
            <w:vAlign w:val="center"/>
          </w:tcPr>
          <w:p w14:paraId="2703C2E9">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管</w:t>
            </w:r>
          </w:p>
          <w:p w14:paraId="41332138">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理</w:t>
            </w:r>
          </w:p>
          <w:p w14:paraId="501D49F7">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体</w:t>
            </w:r>
          </w:p>
          <w:p w14:paraId="62BDBF80">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系</w:t>
            </w:r>
          </w:p>
          <w:p w14:paraId="51C19D48">
            <w:pPr>
              <w:shd w:val="clear" w:color="auto" w:fill="auto"/>
              <w:spacing w:line="24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（10分）</w:t>
            </w:r>
          </w:p>
        </w:tc>
        <w:tc>
          <w:tcPr>
            <w:tcW w:w="5103" w:type="dxa"/>
            <w:noWrap w:val="0"/>
            <w:vAlign w:val="center"/>
          </w:tcPr>
          <w:p w14:paraId="2F1A4962">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1、建立健全物业项目部管理体系；</w:t>
            </w:r>
          </w:p>
        </w:tc>
        <w:tc>
          <w:tcPr>
            <w:tcW w:w="3685" w:type="dxa"/>
            <w:noWrap w:val="0"/>
            <w:vAlign w:val="center"/>
          </w:tcPr>
          <w:p w14:paraId="3717E86A">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未建立扣2分；</w:t>
            </w:r>
          </w:p>
        </w:tc>
        <w:tc>
          <w:tcPr>
            <w:tcW w:w="2694" w:type="dxa"/>
            <w:noWrap w:val="0"/>
            <w:vAlign w:val="top"/>
          </w:tcPr>
          <w:p w14:paraId="02F7F98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38070D45">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2211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51" w:type="dxa"/>
            <w:vMerge w:val="continue"/>
            <w:noWrap w:val="0"/>
            <w:vAlign w:val="top"/>
          </w:tcPr>
          <w:p w14:paraId="79F07B9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0CFE5354">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025AB0C9">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2、物业项目部人员岗位职责明确，责任到位；</w:t>
            </w:r>
          </w:p>
        </w:tc>
        <w:tc>
          <w:tcPr>
            <w:tcW w:w="3685" w:type="dxa"/>
            <w:noWrap w:val="0"/>
            <w:vAlign w:val="center"/>
          </w:tcPr>
          <w:p w14:paraId="42B4095A">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未形成岗位责任扣2分，责任落实不到位扣2-5分；</w:t>
            </w:r>
          </w:p>
        </w:tc>
        <w:tc>
          <w:tcPr>
            <w:tcW w:w="2694" w:type="dxa"/>
            <w:noWrap w:val="0"/>
            <w:vAlign w:val="top"/>
          </w:tcPr>
          <w:p w14:paraId="16C5E12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BD548B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31E6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1" w:type="dxa"/>
            <w:vMerge w:val="continue"/>
            <w:noWrap w:val="0"/>
            <w:vAlign w:val="top"/>
          </w:tcPr>
          <w:p w14:paraId="350F196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15EDB2E9">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2E28FB57">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3、物业公司对项目部每月检查不少于1次；</w:t>
            </w:r>
          </w:p>
        </w:tc>
        <w:tc>
          <w:tcPr>
            <w:tcW w:w="3685" w:type="dxa"/>
            <w:noWrap w:val="0"/>
            <w:vAlign w:val="center"/>
          </w:tcPr>
          <w:p w14:paraId="622A5E61">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检查少一次扣2分；</w:t>
            </w:r>
          </w:p>
        </w:tc>
        <w:tc>
          <w:tcPr>
            <w:tcW w:w="2694" w:type="dxa"/>
            <w:noWrap w:val="0"/>
            <w:vAlign w:val="top"/>
          </w:tcPr>
          <w:p w14:paraId="47085C8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EF4B13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D38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1" w:type="dxa"/>
            <w:vMerge w:val="continue"/>
            <w:noWrap w:val="0"/>
            <w:vAlign w:val="top"/>
          </w:tcPr>
          <w:p w14:paraId="3675DD5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12BB1FFC">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0CDC3060">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4、项目管理层以身作则，对队员的工作开展经常性认真检查和指导，有效组织物业人员遵守停车区的有关规定；</w:t>
            </w:r>
          </w:p>
        </w:tc>
        <w:tc>
          <w:tcPr>
            <w:tcW w:w="3685" w:type="dxa"/>
            <w:noWrap w:val="0"/>
            <w:vAlign w:val="center"/>
          </w:tcPr>
          <w:p w14:paraId="33284AA6">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未能落实停车区管理需求，扣5分；</w:t>
            </w:r>
          </w:p>
        </w:tc>
        <w:tc>
          <w:tcPr>
            <w:tcW w:w="2694" w:type="dxa"/>
            <w:noWrap w:val="0"/>
            <w:vAlign w:val="top"/>
          </w:tcPr>
          <w:p w14:paraId="2C0EE11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7F83C47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0A98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1" w:type="dxa"/>
            <w:vMerge w:val="continue"/>
            <w:noWrap w:val="0"/>
            <w:vAlign w:val="top"/>
          </w:tcPr>
          <w:p w14:paraId="3025CBE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restart"/>
            <w:noWrap w:val="0"/>
            <w:vAlign w:val="center"/>
          </w:tcPr>
          <w:p w14:paraId="4977333A">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规</w:t>
            </w:r>
          </w:p>
          <w:p w14:paraId="75D323CA">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章</w:t>
            </w:r>
          </w:p>
          <w:p w14:paraId="2F991776">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制</w:t>
            </w:r>
          </w:p>
          <w:p w14:paraId="117D6952">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度</w:t>
            </w:r>
          </w:p>
          <w:p w14:paraId="6BDAE932">
            <w:pPr>
              <w:shd w:val="clear" w:color="auto" w:fill="auto"/>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（10分）</w:t>
            </w:r>
          </w:p>
        </w:tc>
        <w:tc>
          <w:tcPr>
            <w:tcW w:w="5103" w:type="dxa"/>
            <w:noWrap w:val="0"/>
            <w:vAlign w:val="center"/>
          </w:tcPr>
          <w:p w14:paraId="2F5C04CF">
            <w:pPr>
              <w:shd w:val="clear" w:color="auto" w:fill="auto"/>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1、健全内部各项规章制度及应急预案</w:t>
            </w:r>
            <w:r>
              <w:rPr>
                <w:rFonts w:hint="eastAsia" w:ascii="宋体" w:hAnsi="宋体" w:eastAsia="宋体" w:cs="宋体"/>
                <w:bCs/>
                <w:color w:val="auto"/>
                <w:szCs w:val="21"/>
                <w:highlight w:val="none"/>
              </w:rPr>
              <w:t>；</w:t>
            </w:r>
          </w:p>
        </w:tc>
        <w:tc>
          <w:tcPr>
            <w:tcW w:w="3685" w:type="dxa"/>
            <w:noWrap w:val="0"/>
            <w:vAlign w:val="center"/>
          </w:tcPr>
          <w:p w14:paraId="5F9984B4">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未建立扣5分，不健全扣2扣</w:t>
            </w:r>
          </w:p>
        </w:tc>
        <w:tc>
          <w:tcPr>
            <w:tcW w:w="2694" w:type="dxa"/>
            <w:noWrap w:val="0"/>
            <w:vAlign w:val="top"/>
          </w:tcPr>
          <w:p w14:paraId="6616D49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DBD832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DE3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1" w:type="dxa"/>
            <w:vMerge w:val="continue"/>
            <w:noWrap w:val="0"/>
            <w:vAlign w:val="top"/>
          </w:tcPr>
          <w:p w14:paraId="7F75E07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06FB4ED0">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68E6D306">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2、熟悉业主单位各项管理制度及应急预案，并有效组织实施；</w:t>
            </w:r>
          </w:p>
        </w:tc>
        <w:tc>
          <w:tcPr>
            <w:tcW w:w="3685" w:type="dxa"/>
            <w:noWrap w:val="0"/>
            <w:vAlign w:val="center"/>
          </w:tcPr>
          <w:p w14:paraId="24E75993">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不熟悉扣1分，不能有效组织实施扣2分；</w:t>
            </w:r>
          </w:p>
        </w:tc>
        <w:tc>
          <w:tcPr>
            <w:tcW w:w="2694" w:type="dxa"/>
            <w:noWrap w:val="0"/>
            <w:vAlign w:val="top"/>
          </w:tcPr>
          <w:p w14:paraId="04A661C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0B1EF7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0F7C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51" w:type="dxa"/>
            <w:vMerge w:val="continue"/>
            <w:noWrap w:val="0"/>
            <w:vAlign w:val="top"/>
          </w:tcPr>
          <w:p w14:paraId="7BB8E2F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3246CD55">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604502C8">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3、建立内部岗位绩效考核办法，报业主单位备案；</w:t>
            </w:r>
          </w:p>
        </w:tc>
        <w:tc>
          <w:tcPr>
            <w:tcW w:w="3685" w:type="dxa"/>
            <w:noWrap w:val="0"/>
            <w:vAlign w:val="center"/>
          </w:tcPr>
          <w:p w14:paraId="7D4969D3">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未建立绩效考核办法扣2分，未落实考核奖罚办法执行扣5分；</w:t>
            </w:r>
          </w:p>
        </w:tc>
        <w:tc>
          <w:tcPr>
            <w:tcW w:w="2694" w:type="dxa"/>
            <w:noWrap w:val="0"/>
            <w:vAlign w:val="top"/>
          </w:tcPr>
          <w:p w14:paraId="56B2AFD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E3F23D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079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51" w:type="dxa"/>
            <w:vMerge w:val="continue"/>
            <w:noWrap w:val="0"/>
            <w:vAlign w:val="top"/>
          </w:tcPr>
          <w:p w14:paraId="19E8144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restart"/>
            <w:noWrap w:val="0"/>
            <w:vAlign w:val="center"/>
          </w:tcPr>
          <w:p w14:paraId="577699BF">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人</w:t>
            </w:r>
          </w:p>
          <w:p w14:paraId="79924078">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员</w:t>
            </w:r>
          </w:p>
          <w:p w14:paraId="79C6A263">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配</w:t>
            </w:r>
          </w:p>
          <w:p w14:paraId="1A7D1055">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w:t>
            </w:r>
          </w:p>
          <w:p w14:paraId="68558409">
            <w:pPr>
              <w:shd w:val="clear" w:color="auto" w:fill="auto"/>
              <w:spacing w:line="240" w:lineRule="atLeas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（10分）</w:t>
            </w:r>
          </w:p>
        </w:tc>
        <w:tc>
          <w:tcPr>
            <w:tcW w:w="5103" w:type="dxa"/>
            <w:noWrap w:val="0"/>
            <w:vAlign w:val="center"/>
          </w:tcPr>
          <w:p w14:paraId="6E6CF63F">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1、人员编制符合要求；</w:t>
            </w:r>
          </w:p>
        </w:tc>
        <w:tc>
          <w:tcPr>
            <w:tcW w:w="3685" w:type="dxa"/>
            <w:noWrap w:val="0"/>
            <w:vAlign w:val="center"/>
          </w:tcPr>
          <w:p w14:paraId="47E227C1">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达不到要求，缺少1人扣3分；</w:t>
            </w:r>
          </w:p>
        </w:tc>
        <w:tc>
          <w:tcPr>
            <w:tcW w:w="2694" w:type="dxa"/>
            <w:noWrap w:val="0"/>
            <w:vAlign w:val="top"/>
          </w:tcPr>
          <w:p w14:paraId="1F83C5E5">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2AD76DE5">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5417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1" w:type="dxa"/>
            <w:vMerge w:val="continue"/>
            <w:noWrap w:val="0"/>
            <w:vAlign w:val="top"/>
          </w:tcPr>
          <w:p w14:paraId="4A14BB4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053F653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7A4666D9">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2、人员招聘符合业主要求；</w:t>
            </w:r>
          </w:p>
        </w:tc>
        <w:tc>
          <w:tcPr>
            <w:tcW w:w="3685" w:type="dxa"/>
            <w:noWrap w:val="0"/>
            <w:vAlign w:val="center"/>
          </w:tcPr>
          <w:p w14:paraId="4E5FD799">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不符合要求的每人扣2分；</w:t>
            </w:r>
          </w:p>
        </w:tc>
        <w:tc>
          <w:tcPr>
            <w:tcW w:w="2694" w:type="dxa"/>
            <w:noWrap w:val="0"/>
            <w:vAlign w:val="top"/>
          </w:tcPr>
          <w:p w14:paraId="36BA6CC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1EAFAC45">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271A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1" w:type="dxa"/>
            <w:vMerge w:val="continue"/>
            <w:noWrap w:val="0"/>
            <w:vAlign w:val="top"/>
          </w:tcPr>
          <w:p w14:paraId="5452454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0D652FE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06490920">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3、人员上岗证配备达到100%，队伍保持稳定；影响停车区工作正常运转扣5分，</w:t>
            </w:r>
          </w:p>
        </w:tc>
        <w:tc>
          <w:tcPr>
            <w:tcW w:w="3685" w:type="dxa"/>
            <w:noWrap w:val="0"/>
            <w:vAlign w:val="center"/>
          </w:tcPr>
          <w:p w14:paraId="3B4E10C9">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未执证上岗证的发现一次扣2分/每人；</w:t>
            </w:r>
          </w:p>
        </w:tc>
        <w:tc>
          <w:tcPr>
            <w:tcW w:w="2694" w:type="dxa"/>
            <w:noWrap w:val="0"/>
            <w:vAlign w:val="top"/>
          </w:tcPr>
          <w:p w14:paraId="793F04D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0DA6CD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5056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51" w:type="dxa"/>
            <w:vMerge w:val="continue"/>
            <w:noWrap w:val="0"/>
            <w:vAlign w:val="top"/>
          </w:tcPr>
          <w:p w14:paraId="272CBBB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20123A9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63A0F030">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4、人员无犯罪证明、上岗证等信息要到甲方备案，人员花名册每月更新上报甲方备案，</w:t>
            </w:r>
          </w:p>
        </w:tc>
        <w:tc>
          <w:tcPr>
            <w:tcW w:w="3685" w:type="dxa"/>
            <w:noWrap w:val="0"/>
            <w:vAlign w:val="center"/>
          </w:tcPr>
          <w:p w14:paraId="3FDF6B7D">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未建立人员信息管理台帐和备案甲方的未扣2分；</w:t>
            </w:r>
          </w:p>
        </w:tc>
        <w:tc>
          <w:tcPr>
            <w:tcW w:w="2694" w:type="dxa"/>
            <w:noWrap w:val="0"/>
            <w:vAlign w:val="top"/>
          </w:tcPr>
          <w:p w14:paraId="3F5DA18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776620F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bookmarkEnd w:id="193"/>
    </w:tbl>
    <w:p w14:paraId="1B462476">
      <w:pPr>
        <w:pStyle w:val="12"/>
        <w:shd w:val="clear" w:color="auto" w:fill="auto"/>
        <w:spacing w:before="162" w:after="162"/>
        <w:rPr>
          <w:rFonts w:hint="eastAsia" w:ascii="宋体" w:hAnsi="宋体" w:eastAsia="宋体" w:cs="宋体"/>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5103"/>
        <w:gridCol w:w="3685"/>
        <w:gridCol w:w="2694"/>
        <w:gridCol w:w="993"/>
      </w:tblGrid>
      <w:tr w14:paraId="4019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85" w:type="dxa"/>
            <w:gridSpan w:val="2"/>
            <w:noWrap w:val="0"/>
            <w:vAlign w:val="center"/>
          </w:tcPr>
          <w:p w14:paraId="23B8DA09">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5103" w:type="dxa"/>
            <w:noWrap w:val="0"/>
            <w:vAlign w:val="center"/>
          </w:tcPr>
          <w:p w14:paraId="37F8D13C">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考核标准</w:t>
            </w:r>
          </w:p>
        </w:tc>
        <w:tc>
          <w:tcPr>
            <w:tcW w:w="3685" w:type="dxa"/>
            <w:noWrap w:val="0"/>
            <w:vAlign w:val="top"/>
          </w:tcPr>
          <w:p w14:paraId="611BEB28">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考核办法</w:t>
            </w:r>
          </w:p>
        </w:tc>
        <w:tc>
          <w:tcPr>
            <w:tcW w:w="2694" w:type="dxa"/>
            <w:noWrap w:val="0"/>
            <w:vAlign w:val="top"/>
          </w:tcPr>
          <w:p w14:paraId="4BF32E5E">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扣分事项</w:t>
            </w:r>
          </w:p>
        </w:tc>
        <w:tc>
          <w:tcPr>
            <w:tcW w:w="993" w:type="dxa"/>
            <w:noWrap w:val="0"/>
            <w:vAlign w:val="top"/>
          </w:tcPr>
          <w:p w14:paraId="3DB55F40">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得分</w:t>
            </w:r>
          </w:p>
        </w:tc>
      </w:tr>
      <w:tr w14:paraId="513D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1" w:type="dxa"/>
            <w:vMerge w:val="restart"/>
            <w:noWrap w:val="0"/>
            <w:vAlign w:val="center"/>
          </w:tcPr>
          <w:p w14:paraId="7979E17F">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w:t>
            </w:r>
          </w:p>
          <w:p w14:paraId="6587BA23">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体</w:t>
            </w:r>
          </w:p>
          <w:p w14:paraId="6E304C55">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w:t>
            </w:r>
          </w:p>
          <w:p w14:paraId="31E0D78B">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求</w:t>
            </w:r>
          </w:p>
          <w:p w14:paraId="5232454D">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（50分）</w:t>
            </w:r>
          </w:p>
        </w:tc>
        <w:tc>
          <w:tcPr>
            <w:tcW w:w="1134" w:type="dxa"/>
            <w:vMerge w:val="restart"/>
            <w:noWrap w:val="0"/>
            <w:vAlign w:val="center"/>
          </w:tcPr>
          <w:p w14:paraId="103B5F4F">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教</w:t>
            </w:r>
          </w:p>
          <w:p w14:paraId="2C17AA44">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育</w:t>
            </w:r>
          </w:p>
          <w:p w14:paraId="1E5D01CE">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w:t>
            </w:r>
          </w:p>
          <w:p w14:paraId="0818891A">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训</w:t>
            </w:r>
          </w:p>
          <w:p w14:paraId="12767C16">
            <w:pPr>
              <w:shd w:val="clear" w:color="auto" w:fill="auto"/>
              <w:spacing w:line="240" w:lineRule="atLeas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（10分）</w:t>
            </w:r>
          </w:p>
        </w:tc>
        <w:tc>
          <w:tcPr>
            <w:tcW w:w="5103" w:type="dxa"/>
            <w:noWrap w:val="0"/>
            <w:vAlign w:val="center"/>
          </w:tcPr>
          <w:p w14:paraId="2B4F1025">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1、制订内部教育培训计划，并按规定执行。</w:t>
            </w:r>
          </w:p>
        </w:tc>
        <w:tc>
          <w:tcPr>
            <w:tcW w:w="3685" w:type="dxa"/>
            <w:noWrap w:val="0"/>
            <w:vAlign w:val="center"/>
          </w:tcPr>
          <w:p w14:paraId="6BB10B5A">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无培训计划扣2分，未按计划组织培训1次扣1分；</w:t>
            </w:r>
          </w:p>
        </w:tc>
        <w:tc>
          <w:tcPr>
            <w:tcW w:w="2694" w:type="dxa"/>
            <w:noWrap w:val="0"/>
            <w:vAlign w:val="top"/>
          </w:tcPr>
          <w:p w14:paraId="51031790">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p>
        </w:tc>
        <w:tc>
          <w:tcPr>
            <w:tcW w:w="993" w:type="dxa"/>
            <w:noWrap w:val="0"/>
            <w:vAlign w:val="top"/>
          </w:tcPr>
          <w:p w14:paraId="257F8E08">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p>
        </w:tc>
      </w:tr>
      <w:tr w14:paraId="51EE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1" w:type="dxa"/>
            <w:vMerge w:val="continue"/>
            <w:noWrap w:val="0"/>
            <w:vAlign w:val="center"/>
          </w:tcPr>
          <w:p w14:paraId="098C3A64">
            <w:pPr>
              <w:shd w:val="clear" w:color="auto" w:fill="auto"/>
              <w:tabs>
                <w:tab w:val="left" w:pos="540"/>
                <w:tab w:val="left" w:pos="720"/>
              </w:tabs>
              <w:adjustRightInd w:val="0"/>
              <w:snapToGrid w:val="0"/>
              <w:spacing w:line="400" w:lineRule="exact"/>
              <w:ind w:left="410" w:hanging="410" w:hangingChars="170"/>
              <w:rPr>
                <w:rFonts w:hint="eastAsia" w:ascii="宋体" w:hAnsi="宋体" w:eastAsia="宋体" w:cs="宋体"/>
                <w:b/>
                <w:color w:val="auto"/>
                <w:sz w:val="24"/>
                <w:highlight w:val="none"/>
              </w:rPr>
            </w:pPr>
          </w:p>
        </w:tc>
        <w:tc>
          <w:tcPr>
            <w:tcW w:w="1134" w:type="dxa"/>
            <w:vMerge w:val="continue"/>
            <w:noWrap w:val="0"/>
            <w:vAlign w:val="center"/>
          </w:tcPr>
          <w:p w14:paraId="59BD04CF">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p>
        </w:tc>
        <w:tc>
          <w:tcPr>
            <w:tcW w:w="5103" w:type="dxa"/>
            <w:noWrap w:val="0"/>
            <w:vAlign w:val="top"/>
          </w:tcPr>
          <w:p w14:paraId="32AEEFB8">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2、组织员工开展安全培训，形成岗前安全教育培训台帐；</w:t>
            </w:r>
          </w:p>
        </w:tc>
        <w:tc>
          <w:tcPr>
            <w:tcW w:w="3685" w:type="dxa"/>
            <w:noWrap w:val="0"/>
            <w:vAlign w:val="center"/>
          </w:tcPr>
          <w:p w14:paraId="5D0008CE">
            <w:pPr>
              <w:shd w:val="clear" w:color="auto" w:fill="auto"/>
              <w:ind w:left="357" w:hanging="357" w:hangingChars="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未能做到扣2分；</w:t>
            </w:r>
          </w:p>
        </w:tc>
        <w:tc>
          <w:tcPr>
            <w:tcW w:w="2694" w:type="dxa"/>
            <w:noWrap w:val="0"/>
            <w:vAlign w:val="top"/>
          </w:tcPr>
          <w:p w14:paraId="49A81C60">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p>
        </w:tc>
        <w:tc>
          <w:tcPr>
            <w:tcW w:w="993" w:type="dxa"/>
            <w:noWrap w:val="0"/>
            <w:vAlign w:val="top"/>
          </w:tcPr>
          <w:p w14:paraId="08525E3A">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p>
        </w:tc>
      </w:tr>
      <w:tr w14:paraId="2776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1" w:type="dxa"/>
            <w:vMerge w:val="continue"/>
            <w:noWrap w:val="0"/>
            <w:vAlign w:val="center"/>
          </w:tcPr>
          <w:p w14:paraId="79157584">
            <w:pPr>
              <w:shd w:val="clear" w:color="auto" w:fill="auto"/>
              <w:tabs>
                <w:tab w:val="left" w:pos="540"/>
                <w:tab w:val="left" w:pos="720"/>
              </w:tabs>
              <w:adjustRightInd w:val="0"/>
              <w:snapToGrid w:val="0"/>
              <w:spacing w:line="400" w:lineRule="exact"/>
              <w:ind w:left="410" w:hanging="410" w:hangingChars="170"/>
              <w:rPr>
                <w:rFonts w:hint="eastAsia" w:ascii="宋体" w:hAnsi="宋体" w:eastAsia="宋体" w:cs="宋体"/>
                <w:b/>
                <w:color w:val="auto"/>
                <w:sz w:val="24"/>
                <w:highlight w:val="none"/>
              </w:rPr>
            </w:pPr>
          </w:p>
        </w:tc>
        <w:tc>
          <w:tcPr>
            <w:tcW w:w="1134" w:type="dxa"/>
            <w:vMerge w:val="continue"/>
            <w:noWrap w:val="0"/>
            <w:vAlign w:val="center"/>
          </w:tcPr>
          <w:p w14:paraId="34721B7B">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p>
        </w:tc>
        <w:tc>
          <w:tcPr>
            <w:tcW w:w="5103" w:type="dxa"/>
            <w:noWrap w:val="0"/>
            <w:vAlign w:val="top"/>
          </w:tcPr>
          <w:p w14:paraId="686BE2F5">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3、积极组织员工参加停车区组织各项教育培训活动；</w:t>
            </w:r>
          </w:p>
        </w:tc>
        <w:tc>
          <w:tcPr>
            <w:tcW w:w="3685" w:type="dxa"/>
            <w:noWrap w:val="0"/>
            <w:vAlign w:val="center"/>
          </w:tcPr>
          <w:p w14:paraId="64D0E67D">
            <w:pPr>
              <w:shd w:val="clear" w:color="auto" w:fill="auto"/>
              <w:ind w:left="357" w:hanging="357" w:hangingChars="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未能有效组织参加扣2分；</w:t>
            </w:r>
          </w:p>
        </w:tc>
        <w:tc>
          <w:tcPr>
            <w:tcW w:w="2694" w:type="dxa"/>
            <w:noWrap w:val="0"/>
            <w:vAlign w:val="top"/>
          </w:tcPr>
          <w:p w14:paraId="19453764">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p>
        </w:tc>
        <w:tc>
          <w:tcPr>
            <w:tcW w:w="993" w:type="dxa"/>
            <w:noWrap w:val="0"/>
            <w:vAlign w:val="top"/>
          </w:tcPr>
          <w:p w14:paraId="19A5F1C6">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p>
        </w:tc>
      </w:tr>
      <w:tr w14:paraId="0BDF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51" w:type="dxa"/>
            <w:vMerge w:val="continue"/>
            <w:noWrap w:val="0"/>
            <w:vAlign w:val="center"/>
          </w:tcPr>
          <w:p w14:paraId="39975F41">
            <w:pPr>
              <w:shd w:val="clear" w:color="auto" w:fill="auto"/>
              <w:tabs>
                <w:tab w:val="left" w:pos="540"/>
                <w:tab w:val="left" w:pos="720"/>
              </w:tabs>
              <w:adjustRightInd w:val="0"/>
              <w:snapToGrid w:val="0"/>
              <w:spacing w:line="400" w:lineRule="exact"/>
              <w:ind w:left="410" w:hanging="410" w:hangingChars="170"/>
              <w:rPr>
                <w:rFonts w:hint="eastAsia" w:ascii="宋体" w:hAnsi="宋体" w:eastAsia="宋体" w:cs="宋体"/>
                <w:b/>
                <w:color w:val="auto"/>
                <w:sz w:val="24"/>
                <w:highlight w:val="none"/>
              </w:rPr>
            </w:pPr>
          </w:p>
        </w:tc>
        <w:tc>
          <w:tcPr>
            <w:tcW w:w="1134" w:type="dxa"/>
            <w:vMerge w:val="continue"/>
            <w:noWrap w:val="0"/>
            <w:vAlign w:val="center"/>
          </w:tcPr>
          <w:p w14:paraId="4C75B19D">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p>
        </w:tc>
        <w:tc>
          <w:tcPr>
            <w:tcW w:w="5103" w:type="dxa"/>
            <w:noWrap w:val="0"/>
            <w:vAlign w:val="top"/>
          </w:tcPr>
          <w:p w14:paraId="2D88D599">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4、物业项目部每年组织开展员工技能培训活动不少于4次，并形成台帐记录；</w:t>
            </w:r>
          </w:p>
        </w:tc>
        <w:tc>
          <w:tcPr>
            <w:tcW w:w="3685" w:type="dxa"/>
            <w:noWrap w:val="0"/>
            <w:vAlign w:val="center"/>
          </w:tcPr>
          <w:p w14:paraId="01C9BC50">
            <w:pPr>
              <w:shd w:val="clear" w:color="auto" w:fill="auto"/>
              <w:ind w:left="357" w:hanging="357" w:hangingChars="1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未能有效组织实施一次扣2分；</w:t>
            </w:r>
          </w:p>
        </w:tc>
        <w:tc>
          <w:tcPr>
            <w:tcW w:w="2694" w:type="dxa"/>
            <w:noWrap w:val="0"/>
            <w:vAlign w:val="top"/>
          </w:tcPr>
          <w:p w14:paraId="5DCB7F0A">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p>
        </w:tc>
        <w:tc>
          <w:tcPr>
            <w:tcW w:w="993" w:type="dxa"/>
            <w:noWrap w:val="0"/>
            <w:vAlign w:val="top"/>
          </w:tcPr>
          <w:p w14:paraId="7E41B5BE">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p>
        </w:tc>
      </w:tr>
      <w:tr w14:paraId="13F2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51" w:type="dxa"/>
            <w:vMerge w:val="continue"/>
            <w:noWrap w:val="0"/>
            <w:vAlign w:val="center"/>
          </w:tcPr>
          <w:p w14:paraId="0A4752E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restart"/>
            <w:noWrap w:val="0"/>
            <w:vAlign w:val="center"/>
          </w:tcPr>
          <w:p w14:paraId="2C85B2AA">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w:t>
            </w:r>
          </w:p>
          <w:p w14:paraId="3BC257E7">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全</w:t>
            </w:r>
          </w:p>
          <w:p w14:paraId="0B60212D">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生</w:t>
            </w:r>
          </w:p>
          <w:p w14:paraId="276B8B58">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产</w:t>
            </w:r>
          </w:p>
          <w:p w14:paraId="373EE4C4">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（10分）</w:t>
            </w:r>
          </w:p>
          <w:p w14:paraId="7DD8224E">
            <w:pPr>
              <w:shd w:val="clear" w:color="auto" w:fill="auto"/>
              <w:jc w:val="left"/>
              <w:rPr>
                <w:rFonts w:hint="eastAsia" w:ascii="宋体" w:hAnsi="宋体" w:eastAsia="宋体" w:cs="宋体"/>
                <w:color w:val="auto"/>
                <w:sz w:val="18"/>
                <w:szCs w:val="18"/>
                <w:highlight w:val="none"/>
              </w:rPr>
            </w:pPr>
          </w:p>
        </w:tc>
        <w:tc>
          <w:tcPr>
            <w:tcW w:w="5103" w:type="dxa"/>
            <w:noWrap w:val="0"/>
            <w:vAlign w:val="center"/>
          </w:tcPr>
          <w:p w14:paraId="4D666F3D">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1、制定保安巡逻制度，按规定组织开展日常巡视和安全检查。</w:t>
            </w:r>
          </w:p>
        </w:tc>
        <w:tc>
          <w:tcPr>
            <w:tcW w:w="3685" w:type="dxa"/>
            <w:noWrap w:val="0"/>
            <w:vAlign w:val="center"/>
          </w:tcPr>
          <w:p w14:paraId="5FA8E981">
            <w:pPr>
              <w:shd w:val="clear" w:color="auto" w:fill="auto"/>
              <w:jc w:val="left"/>
              <w:rPr>
                <w:rFonts w:hint="eastAsia" w:ascii="宋体" w:hAnsi="宋体" w:eastAsia="宋体" w:cs="宋体"/>
                <w:color w:val="auto"/>
                <w:highlight w:val="none"/>
              </w:rPr>
            </w:pPr>
            <w:r>
              <w:rPr>
                <w:rFonts w:hint="eastAsia" w:ascii="宋体" w:hAnsi="宋体" w:eastAsia="宋体" w:cs="宋体"/>
                <w:color w:val="auto"/>
                <w:szCs w:val="21"/>
                <w:highlight w:val="none"/>
              </w:rPr>
              <w:t>未制定巡逻制度扣2分，日常巡查或检查不到位扣2分/次。</w:t>
            </w:r>
          </w:p>
        </w:tc>
        <w:tc>
          <w:tcPr>
            <w:tcW w:w="2694" w:type="dxa"/>
            <w:noWrap w:val="0"/>
            <w:vAlign w:val="top"/>
          </w:tcPr>
          <w:p w14:paraId="25B6435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2C9143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8D4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51" w:type="dxa"/>
            <w:vMerge w:val="continue"/>
            <w:noWrap w:val="0"/>
            <w:vAlign w:val="top"/>
          </w:tcPr>
          <w:p w14:paraId="1A9A501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1A05A69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6D32A243">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2、定期开展安全检查工作，发现安全隐患，进行记录登记和上报，及落实整改及防范措施；</w:t>
            </w:r>
          </w:p>
        </w:tc>
        <w:tc>
          <w:tcPr>
            <w:tcW w:w="3685" w:type="dxa"/>
            <w:noWrap w:val="0"/>
            <w:vAlign w:val="center"/>
          </w:tcPr>
          <w:p w14:paraId="57C96EE2">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未及时发现安全隐患扣5分/次，安全隐患整改落实不到位扣3分/次。</w:t>
            </w:r>
          </w:p>
        </w:tc>
        <w:tc>
          <w:tcPr>
            <w:tcW w:w="2694" w:type="dxa"/>
            <w:noWrap w:val="0"/>
            <w:vAlign w:val="top"/>
          </w:tcPr>
          <w:p w14:paraId="1812507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A0AE7F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6C7E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1" w:type="dxa"/>
            <w:vMerge w:val="continue"/>
            <w:noWrap w:val="0"/>
            <w:vAlign w:val="top"/>
          </w:tcPr>
          <w:p w14:paraId="6990194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57EDE38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3EF42F8C">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3、现场安全措施落实到位，无“三违”现象。</w:t>
            </w:r>
          </w:p>
        </w:tc>
        <w:tc>
          <w:tcPr>
            <w:tcW w:w="3685" w:type="dxa"/>
            <w:noWrap w:val="0"/>
            <w:vAlign w:val="center"/>
          </w:tcPr>
          <w:p w14:paraId="0F001F7E">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违反一次扣5分/次。</w:t>
            </w:r>
          </w:p>
        </w:tc>
        <w:tc>
          <w:tcPr>
            <w:tcW w:w="2694" w:type="dxa"/>
            <w:noWrap w:val="0"/>
            <w:vAlign w:val="top"/>
          </w:tcPr>
          <w:p w14:paraId="738CBAD5">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56AF96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7955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51" w:type="dxa"/>
            <w:vMerge w:val="continue"/>
            <w:noWrap w:val="0"/>
            <w:vAlign w:val="top"/>
          </w:tcPr>
          <w:p w14:paraId="2828046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284444C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1842A899">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4、物业公司组织技术力量每季对停车区设施设备定期开展检查与指导，并形成书面报告停车区。</w:t>
            </w:r>
          </w:p>
        </w:tc>
        <w:tc>
          <w:tcPr>
            <w:tcW w:w="3685" w:type="dxa"/>
            <w:noWrap w:val="0"/>
            <w:vAlign w:val="center"/>
          </w:tcPr>
          <w:p w14:paraId="31417F1C">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未能做到一次扣5分。</w:t>
            </w:r>
          </w:p>
        </w:tc>
        <w:tc>
          <w:tcPr>
            <w:tcW w:w="2694" w:type="dxa"/>
            <w:noWrap w:val="0"/>
            <w:vAlign w:val="top"/>
          </w:tcPr>
          <w:p w14:paraId="46E4615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D154D4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6A13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1" w:type="dxa"/>
            <w:vMerge w:val="continue"/>
            <w:noWrap w:val="0"/>
            <w:vAlign w:val="top"/>
          </w:tcPr>
          <w:p w14:paraId="76F0268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2F1555AE">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16493D8B">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5、应急突发事件处置及时，响应迅速有效，措施到位。</w:t>
            </w:r>
          </w:p>
        </w:tc>
        <w:tc>
          <w:tcPr>
            <w:tcW w:w="3685" w:type="dxa"/>
            <w:noWrap w:val="0"/>
            <w:vAlign w:val="center"/>
          </w:tcPr>
          <w:p w14:paraId="68E6DDD5">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处置不及时或处置方法不当，发现一次扣5分。</w:t>
            </w:r>
          </w:p>
        </w:tc>
        <w:tc>
          <w:tcPr>
            <w:tcW w:w="2694" w:type="dxa"/>
            <w:noWrap w:val="0"/>
            <w:vAlign w:val="top"/>
          </w:tcPr>
          <w:p w14:paraId="565D834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38C2DC3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506A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1" w:type="dxa"/>
            <w:vMerge w:val="continue"/>
            <w:noWrap w:val="0"/>
            <w:vAlign w:val="top"/>
          </w:tcPr>
          <w:p w14:paraId="5469B67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3B8D5E8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63549774">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6、不得出现责任性安全生产事故，因物业管理不当造成安全生产事故。</w:t>
            </w:r>
          </w:p>
        </w:tc>
        <w:tc>
          <w:tcPr>
            <w:tcW w:w="3685" w:type="dxa"/>
            <w:noWrap w:val="0"/>
            <w:vAlign w:val="center"/>
          </w:tcPr>
          <w:p w14:paraId="0E51B7CC">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当月考核0分处理，并按合同约定，承担相应经济责任。</w:t>
            </w:r>
          </w:p>
        </w:tc>
        <w:tc>
          <w:tcPr>
            <w:tcW w:w="2694" w:type="dxa"/>
            <w:noWrap w:val="0"/>
            <w:vAlign w:val="top"/>
          </w:tcPr>
          <w:p w14:paraId="54C0852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973B69E">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bl>
    <w:p w14:paraId="2AC299BC">
      <w:pPr>
        <w:pStyle w:val="12"/>
        <w:shd w:val="clear" w:color="auto" w:fill="auto"/>
        <w:spacing w:before="162" w:after="162"/>
        <w:rPr>
          <w:rFonts w:hint="eastAsia" w:ascii="宋体" w:hAnsi="宋体" w:eastAsia="宋体" w:cs="宋体"/>
          <w:color w:val="auto"/>
          <w:highlight w:val="none"/>
        </w:rPr>
      </w:pPr>
    </w:p>
    <w:p w14:paraId="6165A0D2">
      <w:pPr>
        <w:pStyle w:val="12"/>
        <w:shd w:val="clear" w:color="auto" w:fill="auto"/>
        <w:spacing w:before="162" w:after="162"/>
        <w:rPr>
          <w:rFonts w:hint="eastAsia" w:ascii="宋体" w:hAnsi="宋体" w:eastAsia="宋体" w:cs="宋体"/>
          <w:color w:val="auto"/>
          <w:highlight w:val="none"/>
        </w:rPr>
      </w:pPr>
    </w:p>
    <w:p w14:paraId="2F9E3778">
      <w:pPr>
        <w:pStyle w:val="12"/>
        <w:shd w:val="clear" w:color="auto" w:fill="auto"/>
        <w:spacing w:before="162" w:after="162"/>
        <w:rPr>
          <w:rFonts w:hint="eastAsia" w:ascii="宋体" w:hAnsi="宋体" w:eastAsia="宋体" w:cs="宋体"/>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5103"/>
        <w:gridCol w:w="3685"/>
        <w:gridCol w:w="2694"/>
        <w:gridCol w:w="993"/>
      </w:tblGrid>
      <w:tr w14:paraId="7696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85" w:type="dxa"/>
            <w:gridSpan w:val="2"/>
            <w:noWrap w:val="0"/>
            <w:vAlign w:val="center"/>
          </w:tcPr>
          <w:p w14:paraId="5F04C879">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5103" w:type="dxa"/>
            <w:noWrap w:val="0"/>
            <w:vAlign w:val="center"/>
          </w:tcPr>
          <w:p w14:paraId="0FD3EDAB">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考核标准</w:t>
            </w:r>
          </w:p>
        </w:tc>
        <w:tc>
          <w:tcPr>
            <w:tcW w:w="3685" w:type="dxa"/>
            <w:noWrap w:val="0"/>
            <w:vAlign w:val="center"/>
          </w:tcPr>
          <w:p w14:paraId="68355F64">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考核办法</w:t>
            </w:r>
          </w:p>
        </w:tc>
        <w:tc>
          <w:tcPr>
            <w:tcW w:w="2694" w:type="dxa"/>
            <w:noWrap w:val="0"/>
            <w:vAlign w:val="top"/>
          </w:tcPr>
          <w:p w14:paraId="5607347E">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扣分事项</w:t>
            </w:r>
          </w:p>
        </w:tc>
        <w:tc>
          <w:tcPr>
            <w:tcW w:w="993" w:type="dxa"/>
            <w:noWrap w:val="0"/>
            <w:vAlign w:val="top"/>
          </w:tcPr>
          <w:p w14:paraId="5C8DC0E9">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得分</w:t>
            </w:r>
          </w:p>
        </w:tc>
      </w:tr>
      <w:tr w14:paraId="710F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51" w:type="dxa"/>
            <w:vMerge w:val="restart"/>
            <w:noWrap w:val="0"/>
            <w:vAlign w:val="center"/>
          </w:tcPr>
          <w:p w14:paraId="79378798">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w:t>
            </w:r>
          </w:p>
          <w:p w14:paraId="77161613">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量</w:t>
            </w:r>
          </w:p>
          <w:p w14:paraId="69FAA637">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w:t>
            </w:r>
          </w:p>
          <w:p w14:paraId="1AD10993">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理</w:t>
            </w:r>
          </w:p>
          <w:p w14:paraId="3C5B6F3D">
            <w:pPr>
              <w:shd w:val="clear" w:color="auto" w:fill="auto"/>
              <w:spacing w:line="240" w:lineRule="atLeas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（45分）</w:t>
            </w:r>
          </w:p>
        </w:tc>
        <w:tc>
          <w:tcPr>
            <w:tcW w:w="1134" w:type="dxa"/>
            <w:vMerge w:val="restart"/>
            <w:noWrap w:val="0"/>
            <w:vAlign w:val="center"/>
          </w:tcPr>
          <w:p w14:paraId="0FACE77B">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w:t>
            </w:r>
          </w:p>
          <w:p w14:paraId="0327F52B">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大</w:t>
            </w:r>
          </w:p>
          <w:p w14:paraId="2DBE8DC1">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禁</w:t>
            </w:r>
          </w:p>
          <w:p w14:paraId="3F22C01B">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令</w:t>
            </w:r>
          </w:p>
          <w:p w14:paraId="2C2EDC0A">
            <w:pPr>
              <w:shd w:val="clear" w:color="auto" w:fill="auto"/>
              <w:spacing w:line="24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（10分）</w:t>
            </w:r>
          </w:p>
        </w:tc>
        <w:tc>
          <w:tcPr>
            <w:tcW w:w="5103" w:type="dxa"/>
            <w:noWrap w:val="0"/>
            <w:vAlign w:val="center"/>
          </w:tcPr>
          <w:p w14:paraId="11052D3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1、严禁员工将停车区物品占为自有。</w:t>
            </w:r>
          </w:p>
        </w:tc>
        <w:tc>
          <w:tcPr>
            <w:tcW w:w="3685" w:type="dxa"/>
            <w:vMerge w:val="restart"/>
            <w:noWrap w:val="0"/>
            <w:vAlign w:val="center"/>
          </w:tcPr>
          <w:p w14:paraId="74D998CA">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违者辞退处理，项目部月度考核扣10分，罚款500元/次。</w:t>
            </w:r>
          </w:p>
        </w:tc>
        <w:tc>
          <w:tcPr>
            <w:tcW w:w="2694" w:type="dxa"/>
            <w:noWrap w:val="0"/>
            <w:vAlign w:val="top"/>
          </w:tcPr>
          <w:p w14:paraId="1F17759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358F061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7683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1" w:type="dxa"/>
            <w:vMerge w:val="continue"/>
            <w:noWrap w:val="0"/>
            <w:vAlign w:val="top"/>
          </w:tcPr>
          <w:p w14:paraId="5C523DA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16566A1A">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5540D51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2、严禁员工利用公共区域私卖物品，谋取私利。</w:t>
            </w:r>
          </w:p>
        </w:tc>
        <w:tc>
          <w:tcPr>
            <w:tcW w:w="3685" w:type="dxa"/>
            <w:vMerge w:val="continue"/>
            <w:noWrap w:val="0"/>
            <w:vAlign w:val="center"/>
          </w:tcPr>
          <w:p w14:paraId="597A33DD">
            <w:pPr>
              <w:shd w:val="clear" w:color="auto" w:fill="auto"/>
              <w:jc w:val="left"/>
              <w:rPr>
                <w:rFonts w:hint="eastAsia" w:ascii="宋体" w:hAnsi="宋体" w:eastAsia="宋体" w:cs="宋体"/>
                <w:color w:val="auto"/>
                <w:szCs w:val="21"/>
                <w:highlight w:val="none"/>
              </w:rPr>
            </w:pPr>
          </w:p>
        </w:tc>
        <w:tc>
          <w:tcPr>
            <w:tcW w:w="2694" w:type="dxa"/>
            <w:noWrap w:val="0"/>
            <w:vAlign w:val="top"/>
          </w:tcPr>
          <w:p w14:paraId="23A7250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1AFE4F8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779D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51" w:type="dxa"/>
            <w:vMerge w:val="continue"/>
            <w:noWrap w:val="0"/>
            <w:vAlign w:val="top"/>
          </w:tcPr>
          <w:p w14:paraId="04A9C48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608D1041">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21A94C4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3、严禁员工向停车区商家“吃、拿、卡、要”。</w:t>
            </w:r>
          </w:p>
        </w:tc>
        <w:tc>
          <w:tcPr>
            <w:tcW w:w="3685" w:type="dxa"/>
            <w:vMerge w:val="continue"/>
            <w:noWrap w:val="0"/>
            <w:vAlign w:val="center"/>
          </w:tcPr>
          <w:p w14:paraId="2B0252D9">
            <w:pPr>
              <w:shd w:val="clear" w:color="auto" w:fill="auto"/>
              <w:jc w:val="left"/>
              <w:rPr>
                <w:rFonts w:hint="eastAsia" w:ascii="宋体" w:hAnsi="宋体" w:eastAsia="宋体" w:cs="宋体"/>
                <w:color w:val="auto"/>
                <w:szCs w:val="21"/>
                <w:highlight w:val="none"/>
              </w:rPr>
            </w:pPr>
          </w:p>
        </w:tc>
        <w:tc>
          <w:tcPr>
            <w:tcW w:w="2694" w:type="dxa"/>
            <w:noWrap w:val="0"/>
            <w:vAlign w:val="top"/>
          </w:tcPr>
          <w:p w14:paraId="7897F8D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4BD4254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DF9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1" w:type="dxa"/>
            <w:vMerge w:val="continue"/>
            <w:noWrap w:val="0"/>
            <w:vAlign w:val="top"/>
          </w:tcPr>
          <w:p w14:paraId="0A4A7F2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72511840">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59C5E5B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4、严禁员工与司乘人员吵闹、殴打。</w:t>
            </w:r>
          </w:p>
        </w:tc>
        <w:tc>
          <w:tcPr>
            <w:tcW w:w="3685" w:type="dxa"/>
            <w:vMerge w:val="continue"/>
            <w:noWrap w:val="0"/>
            <w:vAlign w:val="center"/>
          </w:tcPr>
          <w:p w14:paraId="2BECBCC8">
            <w:pPr>
              <w:shd w:val="clear" w:color="auto" w:fill="auto"/>
              <w:jc w:val="left"/>
              <w:rPr>
                <w:rFonts w:hint="eastAsia" w:ascii="宋体" w:hAnsi="宋体" w:eastAsia="宋体" w:cs="宋体"/>
                <w:color w:val="auto"/>
                <w:szCs w:val="21"/>
                <w:highlight w:val="none"/>
              </w:rPr>
            </w:pPr>
          </w:p>
        </w:tc>
        <w:tc>
          <w:tcPr>
            <w:tcW w:w="2694" w:type="dxa"/>
            <w:noWrap w:val="0"/>
            <w:vAlign w:val="top"/>
          </w:tcPr>
          <w:p w14:paraId="5295158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3C480C2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74C0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51" w:type="dxa"/>
            <w:vMerge w:val="continue"/>
            <w:noWrap w:val="0"/>
            <w:vAlign w:val="top"/>
          </w:tcPr>
          <w:p w14:paraId="7D90C06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05B1EF94">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071EEA9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5、严禁聚众赌博、班中饮酒、员工之间打架等</w:t>
            </w:r>
          </w:p>
        </w:tc>
        <w:tc>
          <w:tcPr>
            <w:tcW w:w="3685" w:type="dxa"/>
            <w:vMerge w:val="continue"/>
            <w:noWrap w:val="0"/>
            <w:vAlign w:val="center"/>
          </w:tcPr>
          <w:p w14:paraId="73473A29">
            <w:pPr>
              <w:shd w:val="clear" w:color="auto" w:fill="auto"/>
              <w:jc w:val="left"/>
              <w:rPr>
                <w:rFonts w:hint="eastAsia" w:ascii="宋体" w:hAnsi="宋体" w:eastAsia="宋体" w:cs="宋体"/>
                <w:color w:val="auto"/>
                <w:szCs w:val="21"/>
                <w:highlight w:val="none"/>
              </w:rPr>
            </w:pPr>
          </w:p>
        </w:tc>
        <w:tc>
          <w:tcPr>
            <w:tcW w:w="2694" w:type="dxa"/>
            <w:noWrap w:val="0"/>
            <w:vAlign w:val="top"/>
          </w:tcPr>
          <w:p w14:paraId="3E59770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288B550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5E7E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51" w:type="dxa"/>
            <w:vMerge w:val="continue"/>
            <w:noWrap w:val="0"/>
            <w:vAlign w:val="top"/>
          </w:tcPr>
          <w:p w14:paraId="53F8976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0EC1F6D3">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0E413BD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6、严禁利用工作之便偷盗、侵吞公共财物或串通外来人员进行违法行为。</w:t>
            </w:r>
          </w:p>
        </w:tc>
        <w:tc>
          <w:tcPr>
            <w:tcW w:w="3685" w:type="dxa"/>
            <w:vMerge w:val="continue"/>
            <w:noWrap w:val="0"/>
            <w:vAlign w:val="center"/>
          </w:tcPr>
          <w:p w14:paraId="48B077C6">
            <w:pPr>
              <w:shd w:val="clear" w:color="auto" w:fill="auto"/>
              <w:jc w:val="left"/>
              <w:rPr>
                <w:rFonts w:hint="eastAsia" w:ascii="宋体" w:hAnsi="宋体" w:eastAsia="宋体" w:cs="宋体"/>
                <w:color w:val="auto"/>
                <w:szCs w:val="21"/>
                <w:highlight w:val="none"/>
              </w:rPr>
            </w:pPr>
          </w:p>
        </w:tc>
        <w:tc>
          <w:tcPr>
            <w:tcW w:w="2694" w:type="dxa"/>
            <w:noWrap w:val="0"/>
            <w:vAlign w:val="top"/>
          </w:tcPr>
          <w:p w14:paraId="5BFC969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83A6BC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19B8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1" w:type="dxa"/>
            <w:vMerge w:val="continue"/>
            <w:noWrap w:val="0"/>
            <w:vAlign w:val="top"/>
          </w:tcPr>
          <w:p w14:paraId="550EAC45">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restart"/>
            <w:noWrap w:val="0"/>
            <w:vAlign w:val="center"/>
          </w:tcPr>
          <w:p w14:paraId="1FDB1089">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劳动纪律</w:t>
            </w:r>
          </w:p>
          <w:p w14:paraId="4DB991AB">
            <w:pPr>
              <w:shd w:val="clear" w:color="auto" w:fill="auto"/>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（15分）</w:t>
            </w:r>
          </w:p>
        </w:tc>
        <w:tc>
          <w:tcPr>
            <w:tcW w:w="5103" w:type="dxa"/>
            <w:noWrap w:val="0"/>
            <w:vAlign w:val="center"/>
          </w:tcPr>
          <w:p w14:paraId="23DAAA6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1、准时上下岗，保证内外现场不断人，交接班必须在现场地交接。</w:t>
            </w:r>
          </w:p>
        </w:tc>
        <w:tc>
          <w:tcPr>
            <w:tcW w:w="3685" w:type="dxa"/>
            <w:vMerge w:val="restart"/>
            <w:noWrap w:val="0"/>
            <w:vAlign w:val="center"/>
          </w:tcPr>
          <w:p w14:paraId="4B299353">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违反一条每次扣2分，</w:t>
            </w:r>
          </w:p>
        </w:tc>
        <w:tc>
          <w:tcPr>
            <w:tcW w:w="2694" w:type="dxa"/>
            <w:noWrap w:val="0"/>
            <w:vAlign w:val="top"/>
          </w:tcPr>
          <w:p w14:paraId="020321D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5DA2BB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29E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1" w:type="dxa"/>
            <w:vMerge w:val="continue"/>
            <w:noWrap w:val="0"/>
            <w:vAlign w:val="top"/>
          </w:tcPr>
          <w:p w14:paraId="03DD5E8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center"/>
          </w:tcPr>
          <w:p w14:paraId="68D346E1">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p>
        </w:tc>
        <w:tc>
          <w:tcPr>
            <w:tcW w:w="5103" w:type="dxa"/>
            <w:noWrap w:val="0"/>
            <w:vAlign w:val="center"/>
          </w:tcPr>
          <w:p w14:paraId="2A1E548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2、上岗期间不能发生脱岗、睡岗、聚众闲聊、玩游戏等行为。</w:t>
            </w:r>
          </w:p>
        </w:tc>
        <w:tc>
          <w:tcPr>
            <w:tcW w:w="3685" w:type="dxa"/>
            <w:vMerge w:val="continue"/>
            <w:noWrap w:val="0"/>
            <w:vAlign w:val="center"/>
          </w:tcPr>
          <w:p w14:paraId="7407FF34">
            <w:pPr>
              <w:shd w:val="clear" w:color="auto" w:fill="auto"/>
              <w:jc w:val="left"/>
              <w:rPr>
                <w:rFonts w:hint="eastAsia" w:ascii="宋体" w:hAnsi="宋体" w:eastAsia="宋体" w:cs="宋体"/>
                <w:color w:val="auto"/>
                <w:szCs w:val="21"/>
                <w:highlight w:val="none"/>
              </w:rPr>
            </w:pPr>
          </w:p>
        </w:tc>
        <w:tc>
          <w:tcPr>
            <w:tcW w:w="2694" w:type="dxa"/>
            <w:noWrap w:val="0"/>
            <w:vAlign w:val="top"/>
          </w:tcPr>
          <w:p w14:paraId="7D8101C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31EE434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59A6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1" w:type="dxa"/>
            <w:vMerge w:val="continue"/>
            <w:noWrap w:val="0"/>
            <w:vAlign w:val="top"/>
          </w:tcPr>
          <w:p w14:paraId="06ADEB9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center"/>
          </w:tcPr>
          <w:p w14:paraId="01F02D0E">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p>
        </w:tc>
        <w:tc>
          <w:tcPr>
            <w:tcW w:w="5103" w:type="dxa"/>
            <w:noWrap w:val="0"/>
            <w:vAlign w:val="center"/>
          </w:tcPr>
          <w:p w14:paraId="250DD58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3、按上报的排班表上岗，不发生岗位缺岗。因特殊原因不能按编上岗，应向停车区说明，并征得同意。</w:t>
            </w:r>
          </w:p>
        </w:tc>
        <w:tc>
          <w:tcPr>
            <w:tcW w:w="3685" w:type="dxa"/>
            <w:vMerge w:val="continue"/>
            <w:noWrap w:val="0"/>
            <w:vAlign w:val="center"/>
          </w:tcPr>
          <w:p w14:paraId="41115465">
            <w:pPr>
              <w:shd w:val="clear" w:color="auto" w:fill="auto"/>
              <w:jc w:val="left"/>
              <w:rPr>
                <w:rFonts w:hint="eastAsia" w:ascii="宋体" w:hAnsi="宋体" w:eastAsia="宋体" w:cs="宋体"/>
                <w:color w:val="auto"/>
                <w:szCs w:val="21"/>
                <w:highlight w:val="none"/>
              </w:rPr>
            </w:pPr>
          </w:p>
        </w:tc>
        <w:tc>
          <w:tcPr>
            <w:tcW w:w="2694" w:type="dxa"/>
            <w:noWrap w:val="0"/>
            <w:vAlign w:val="top"/>
          </w:tcPr>
          <w:p w14:paraId="58B4E05E">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49B8AE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76D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1" w:type="dxa"/>
            <w:vMerge w:val="continue"/>
            <w:noWrap w:val="0"/>
            <w:vAlign w:val="top"/>
          </w:tcPr>
          <w:p w14:paraId="7AB9300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0B682CB3">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494716F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4、上岗期间需配合停车区稽查人员稽查。</w:t>
            </w:r>
          </w:p>
        </w:tc>
        <w:tc>
          <w:tcPr>
            <w:tcW w:w="3685" w:type="dxa"/>
            <w:vMerge w:val="continue"/>
            <w:noWrap w:val="0"/>
            <w:vAlign w:val="center"/>
          </w:tcPr>
          <w:p w14:paraId="49FAA854">
            <w:pPr>
              <w:shd w:val="clear" w:color="auto" w:fill="auto"/>
              <w:jc w:val="left"/>
              <w:rPr>
                <w:rFonts w:hint="eastAsia" w:ascii="宋体" w:hAnsi="宋体" w:eastAsia="宋体" w:cs="宋体"/>
                <w:color w:val="auto"/>
                <w:szCs w:val="21"/>
                <w:highlight w:val="none"/>
              </w:rPr>
            </w:pPr>
          </w:p>
        </w:tc>
        <w:tc>
          <w:tcPr>
            <w:tcW w:w="2694" w:type="dxa"/>
            <w:noWrap w:val="0"/>
            <w:vAlign w:val="top"/>
          </w:tcPr>
          <w:p w14:paraId="7A9D268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1DD9553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8FA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1" w:type="dxa"/>
            <w:vMerge w:val="continue"/>
            <w:noWrap w:val="0"/>
            <w:vAlign w:val="top"/>
          </w:tcPr>
          <w:p w14:paraId="14B5811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316EF66B">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0EBE142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5、上岗期间不串岗，当班保安就餐前须落实好替岗人员，轮换就餐，交接班必须在现场交接。</w:t>
            </w:r>
          </w:p>
        </w:tc>
        <w:tc>
          <w:tcPr>
            <w:tcW w:w="3685" w:type="dxa"/>
            <w:vMerge w:val="continue"/>
            <w:noWrap w:val="0"/>
            <w:vAlign w:val="center"/>
          </w:tcPr>
          <w:p w14:paraId="071E31CA">
            <w:pPr>
              <w:shd w:val="clear" w:color="auto" w:fill="auto"/>
              <w:jc w:val="left"/>
              <w:rPr>
                <w:rFonts w:hint="eastAsia" w:ascii="宋体" w:hAnsi="宋体" w:eastAsia="宋体" w:cs="宋体"/>
                <w:color w:val="auto"/>
                <w:szCs w:val="21"/>
                <w:highlight w:val="none"/>
              </w:rPr>
            </w:pPr>
          </w:p>
        </w:tc>
        <w:tc>
          <w:tcPr>
            <w:tcW w:w="2694" w:type="dxa"/>
            <w:noWrap w:val="0"/>
            <w:vAlign w:val="top"/>
          </w:tcPr>
          <w:p w14:paraId="523E5CD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FD9BD05">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C13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51" w:type="dxa"/>
            <w:vMerge w:val="continue"/>
            <w:noWrap w:val="0"/>
            <w:vAlign w:val="top"/>
          </w:tcPr>
          <w:p w14:paraId="05BF810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restart"/>
            <w:noWrap w:val="0"/>
            <w:vAlign w:val="top"/>
          </w:tcPr>
          <w:p w14:paraId="154A2111">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p w14:paraId="53D12BC4">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行为规范</w:t>
            </w:r>
          </w:p>
          <w:p w14:paraId="2FD2AE56">
            <w:pPr>
              <w:shd w:val="clear" w:color="auto" w:fill="auto"/>
              <w:spacing w:line="240" w:lineRule="atLeas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（15分</w:t>
            </w:r>
          </w:p>
        </w:tc>
        <w:tc>
          <w:tcPr>
            <w:tcW w:w="5103" w:type="dxa"/>
            <w:noWrap w:val="0"/>
            <w:vAlign w:val="center"/>
          </w:tcPr>
          <w:p w14:paraId="39E13A5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1、正确的使用礼貌用语。</w:t>
            </w:r>
          </w:p>
        </w:tc>
        <w:tc>
          <w:tcPr>
            <w:tcW w:w="3685" w:type="dxa"/>
            <w:vMerge w:val="restart"/>
            <w:noWrap w:val="0"/>
            <w:vAlign w:val="center"/>
          </w:tcPr>
          <w:p w14:paraId="1C0782C9">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违反一条每次扣2分，</w:t>
            </w:r>
          </w:p>
        </w:tc>
        <w:tc>
          <w:tcPr>
            <w:tcW w:w="2694" w:type="dxa"/>
            <w:noWrap w:val="0"/>
            <w:vAlign w:val="top"/>
          </w:tcPr>
          <w:p w14:paraId="5209E7D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127E23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257C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51" w:type="dxa"/>
            <w:vMerge w:val="continue"/>
            <w:noWrap w:val="0"/>
            <w:vAlign w:val="top"/>
          </w:tcPr>
          <w:p w14:paraId="717B39F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5FB314C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79EB849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2、发生司乘人员求助时，应热情服务、积极帮助，不能借故推脱。</w:t>
            </w:r>
          </w:p>
        </w:tc>
        <w:tc>
          <w:tcPr>
            <w:tcW w:w="3685" w:type="dxa"/>
            <w:vMerge w:val="continue"/>
            <w:noWrap w:val="0"/>
            <w:vAlign w:val="center"/>
          </w:tcPr>
          <w:p w14:paraId="2B0D9AFD">
            <w:pPr>
              <w:shd w:val="clear" w:color="auto" w:fill="auto"/>
              <w:jc w:val="left"/>
              <w:rPr>
                <w:rFonts w:hint="eastAsia" w:ascii="宋体" w:hAnsi="宋体" w:eastAsia="宋体" w:cs="宋体"/>
                <w:color w:val="auto"/>
                <w:szCs w:val="21"/>
                <w:highlight w:val="none"/>
              </w:rPr>
            </w:pPr>
          </w:p>
        </w:tc>
        <w:tc>
          <w:tcPr>
            <w:tcW w:w="2694" w:type="dxa"/>
            <w:noWrap w:val="0"/>
            <w:vAlign w:val="top"/>
          </w:tcPr>
          <w:p w14:paraId="0057B84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194DB48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0E25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51" w:type="dxa"/>
            <w:vMerge w:val="continue"/>
            <w:noWrap w:val="0"/>
            <w:vAlign w:val="top"/>
          </w:tcPr>
          <w:p w14:paraId="61C49C0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0E19705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06F382C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3、掌握停车区所在周边环境、道路交通、服务场所、旅游景点情况，能为司乘人员提供咨询服务。</w:t>
            </w:r>
          </w:p>
        </w:tc>
        <w:tc>
          <w:tcPr>
            <w:tcW w:w="3685" w:type="dxa"/>
            <w:vMerge w:val="continue"/>
            <w:noWrap w:val="0"/>
            <w:vAlign w:val="center"/>
          </w:tcPr>
          <w:p w14:paraId="41B2A7B7">
            <w:pPr>
              <w:shd w:val="clear" w:color="auto" w:fill="auto"/>
              <w:jc w:val="left"/>
              <w:rPr>
                <w:rFonts w:hint="eastAsia" w:ascii="宋体" w:hAnsi="宋体" w:eastAsia="宋体" w:cs="宋体"/>
                <w:color w:val="auto"/>
                <w:szCs w:val="21"/>
                <w:highlight w:val="none"/>
              </w:rPr>
            </w:pPr>
          </w:p>
        </w:tc>
        <w:tc>
          <w:tcPr>
            <w:tcW w:w="2694" w:type="dxa"/>
            <w:noWrap w:val="0"/>
            <w:vAlign w:val="top"/>
          </w:tcPr>
          <w:p w14:paraId="07E7BB3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C478D2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bl>
    <w:p w14:paraId="4F4E09B4">
      <w:pPr>
        <w:pStyle w:val="12"/>
        <w:shd w:val="clear" w:color="auto" w:fill="auto"/>
        <w:spacing w:before="162" w:after="162"/>
        <w:rPr>
          <w:rFonts w:hint="eastAsia" w:ascii="宋体" w:hAnsi="宋体" w:eastAsia="宋体" w:cs="宋体"/>
          <w:color w:val="auto"/>
          <w:highlight w:val="none"/>
        </w:rPr>
      </w:pPr>
    </w:p>
    <w:p w14:paraId="3AB1FF28">
      <w:pPr>
        <w:pStyle w:val="12"/>
        <w:shd w:val="clear" w:color="auto" w:fill="auto"/>
        <w:spacing w:before="162" w:after="162"/>
        <w:rPr>
          <w:rFonts w:hint="eastAsia" w:ascii="宋体" w:hAnsi="宋体" w:eastAsia="宋体" w:cs="宋体"/>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5103"/>
        <w:gridCol w:w="3685"/>
        <w:gridCol w:w="2694"/>
        <w:gridCol w:w="993"/>
      </w:tblGrid>
      <w:tr w14:paraId="0D05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44" w:type="dxa"/>
            <w:gridSpan w:val="2"/>
            <w:noWrap w:val="0"/>
            <w:vAlign w:val="center"/>
          </w:tcPr>
          <w:p w14:paraId="315028DA">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5103" w:type="dxa"/>
            <w:noWrap w:val="0"/>
            <w:vAlign w:val="center"/>
          </w:tcPr>
          <w:p w14:paraId="6FCB55EE">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考核标准</w:t>
            </w:r>
          </w:p>
        </w:tc>
        <w:tc>
          <w:tcPr>
            <w:tcW w:w="3685" w:type="dxa"/>
            <w:noWrap w:val="0"/>
            <w:vAlign w:val="center"/>
          </w:tcPr>
          <w:p w14:paraId="2C0348EB">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考核办法</w:t>
            </w:r>
          </w:p>
        </w:tc>
        <w:tc>
          <w:tcPr>
            <w:tcW w:w="2694" w:type="dxa"/>
            <w:noWrap w:val="0"/>
            <w:vAlign w:val="top"/>
          </w:tcPr>
          <w:p w14:paraId="330A369C">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扣分事项</w:t>
            </w:r>
          </w:p>
        </w:tc>
        <w:tc>
          <w:tcPr>
            <w:tcW w:w="993" w:type="dxa"/>
            <w:noWrap w:val="0"/>
            <w:vAlign w:val="top"/>
          </w:tcPr>
          <w:p w14:paraId="13314034">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得分</w:t>
            </w:r>
          </w:p>
        </w:tc>
      </w:tr>
      <w:tr w14:paraId="63D5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0" w:type="dxa"/>
            <w:vMerge w:val="restart"/>
            <w:noWrap w:val="0"/>
            <w:vAlign w:val="center"/>
          </w:tcPr>
          <w:p w14:paraId="105B5CAB">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w:t>
            </w:r>
          </w:p>
          <w:p w14:paraId="35F6F3FF">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量</w:t>
            </w:r>
          </w:p>
          <w:p w14:paraId="146467E2">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w:t>
            </w:r>
          </w:p>
          <w:p w14:paraId="702BC17D">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理</w:t>
            </w:r>
          </w:p>
          <w:p w14:paraId="132DDDA1">
            <w:pPr>
              <w:shd w:val="clear" w:color="auto" w:fill="auto"/>
              <w:spacing w:line="240" w:lineRule="atLeas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（45分）</w:t>
            </w:r>
          </w:p>
        </w:tc>
        <w:tc>
          <w:tcPr>
            <w:tcW w:w="1134" w:type="dxa"/>
            <w:vMerge w:val="restart"/>
            <w:noWrap w:val="0"/>
            <w:vAlign w:val="center"/>
          </w:tcPr>
          <w:p w14:paraId="48D328BA">
            <w:pPr>
              <w:shd w:val="clear" w:color="auto" w:fill="auto"/>
              <w:spacing w:line="24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kern w:val="0"/>
                <w:szCs w:val="21"/>
                <w:highlight w:val="none"/>
              </w:rPr>
              <w:t>行为规范</w:t>
            </w:r>
            <w:r>
              <w:rPr>
                <w:rFonts w:hint="eastAsia" w:ascii="宋体" w:hAnsi="宋体" w:eastAsia="宋体" w:cs="宋体"/>
                <w:color w:val="auto"/>
                <w:sz w:val="18"/>
                <w:szCs w:val="18"/>
                <w:highlight w:val="none"/>
              </w:rPr>
              <w:t>（15分）</w:t>
            </w:r>
          </w:p>
        </w:tc>
        <w:tc>
          <w:tcPr>
            <w:tcW w:w="5103" w:type="dxa"/>
            <w:noWrap w:val="0"/>
            <w:vAlign w:val="center"/>
          </w:tcPr>
          <w:p w14:paraId="6EF6706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4、仪表、仪容端正、大方；男员工不留长发，不蓄胡须；女员工不浓妆艳抹。</w:t>
            </w:r>
          </w:p>
        </w:tc>
        <w:tc>
          <w:tcPr>
            <w:tcW w:w="3685" w:type="dxa"/>
            <w:vMerge w:val="restart"/>
            <w:noWrap w:val="0"/>
            <w:vAlign w:val="center"/>
          </w:tcPr>
          <w:p w14:paraId="13E88DB7">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违反一条每次扣2分。</w:t>
            </w:r>
          </w:p>
        </w:tc>
        <w:tc>
          <w:tcPr>
            <w:tcW w:w="2694" w:type="dxa"/>
            <w:noWrap w:val="0"/>
            <w:vAlign w:val="top"/>
          </w:tcPr>
          <w:p w14:paraId="329386A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DBF83EE">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B34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10" w:type="dxa"/>
            <w:vMerge w:val="continue"/>
            <w:noWrap w:val="0"/>
            <w:vAlign w:val="top"/>
          </w:tcPr>
          <w:p w14:paraId="6E7B2EB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09661277">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05A9A58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5、佩证（工号牌）上岗，证（工号牌）不被遮挡。</w:t>
            </w:r>
          </w:p>
        </w:tc>
        <w:tc>
          <w:tcPr>
            <w:tcW w:w="3685" w:type="dxa"/>
            <w:vMerge w:val="continue"/>
            <w:noWrap w:val="0"/>
            <w:vAlign w:val="center"/>
          </w:tcPr>
          <w:p w14:paraId="1D33C69E">
            <w:pPr>
              <w:shd w:val="clear" w:color="auto" w:fill="auto"/>
              <w:jc w:val="left"/>
              <w:rPr>
                <w:rFonts w:hint="eastAsia" w:ascii="宋体" w:hAnsi="宋体" w:eastAsia="宋体" w:cs="宋体"/>
                <w:color w:val="auto"/>
                <w:szCs w:val="21"/>
                <w:highlight w:val="none"/>
              </w:rPr>
            </w:pPr>
          </w:p>
        </w:tc>
        <w:tc>
          <w:tcPr>
            <w:tcW w:w="2694" w:type="dxa"/>
            <w:noWrap w:val="0"/>
            <w:vAlign w:val="top"/>
          </w:tcPr>
          <w:p w14:paraId="6585A1F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940C75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6A05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0" w:type="dxa"/>
            <w:vMerge w:val="continue"/>
            <w:noWrap w:val="0"/>
            <w:vAlign w:val="top"/>
          </w:tcPr>
          <w:p w14:paraId="61CC2DC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7023F169">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14E1758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6、上岗时应按规定着工装；夜间、外场必须加着安全标志服。</w:t>
            </w:r>
          </w:p>
        </w:tc>
        <w:tc>
          <w:tcPr>
            <w:tcW w:w="3685" w:type="dxa"/>
            <w:vMerge w:val="continue"/>
            <w:noWrap w:val="0"/>
            <w:vAlign w:val="center"/>
          </w:tcPr>
          <w:p w14:paraId="692D9E0E">
            <w:pPr>
              <w:shd w:val="clear" w:color="auto" w:fill="auto"/>
              <w:jc w:val="left"/>
              <w:rPr>
                <w:rFonts w:hint="eastAsia" w:ascii="宋体" w:hAnsi="宋体" w:eastAsia="宋体" w:cs="宋体"/>
                <w:color w:val="auto"/>
                <w:szCs w:val="21"/>
                <w:highlight w:val="none"/>
              </w:rPr>
            </w:pPr>
          </w:p>
        </w:tc>
        <w:tc>
          <w:tcPr>
            <w:tcW w:w="2694" w:type="dxa"/>
            <w:noWrap w:val="0"/>
            <w:vAlign w:val="top"/>
          </w:tcPr>
          <w:p w14:paraId="5ACF0BD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0007D4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55CE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0" w:type="dxa"/>
            <w:vMerge w:val="continue"/>
            <w:noWrap w:val="0"/>
            <w:vAlign w:val="top"/>
          </w:tcPr>
          <w:p w14:paraId="0913357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2654AF2A">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6E81DD1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7、熟悉工作岗位职责，保质保量完成交办的各项工作</w:t>
            </w:r>
          </w:p>
        </w:tc>
        <w:tc>
          <w:tcPr>
            <w:tcW w:w="3685" w:type="dxa"/>
            <w:vMerge w:val="continue"/>
            <w:noWrap w:val="0"/>
            <w:vAlign w:val="center"/>
          </w:tcPr>
          <w:p w14:paraId="0594C752">
            <w:pPr>
              <w:shd w:val="clear" w:color="auto" w:fill="auto"/>
              <w:jc w:val="left"/>
              <w:rPr>
                <w:rFonts w:hint="eastAsia" w:ascii="宋体" w:hAnsi="宋体" w:eastAsia="宋体" w:cs="宋体"/>
                <w:color w:val="auto"/>
                <w:szCs w:val="21"/>
                <w:highlight w:val="none"/>
              </w:rPr>
            </w:pPr>
          </w:p>
        </w:tc>
        <w:tc>
          <w:tcPr>
            <w:tcW w:w="2694" w:type="dxa"/>
            <w:noWrap w:val="0"/>
            <w:vAlign w:val="top"/>
          </w:tcPr>
          <w:p w14:paraId="5600D5F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4CC1415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0C34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0" w:type="dxa"/>
            <w:vMerge w:val="continue"/>
            <w:noWrap w:val="0"/>
            <w:vAlign w:val="top"/>
          </w:tcPr>
          <w:p w14:paraId="6805C73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restart"/>
            <w:noWrap w:val="0"/>
            <w:vAlign w:val="center"/>
          </w:tcPr>
          <w:p w14:paraId="29C72D4A">
            <w:pPr>
              <w:shd w:val="clear" w:color="auto" w:fill="auto"/>
              <w:spacing w:line="24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sz w:val="18"/>
                <w:szCs w:val="18"/>
                <w:highlight w:val="none"/>
              </w:rPr>
              <w:t>台</w:t>
            </w:r>
            <w:r>
              <w:rPr>
                <w:rFonts w:hint="eastAsia" w:ascii="宋体" w:hAnsi="宋体" w:eastAsia="宋体" w:cs="宋体"/>
                <w:color w:val="auto"/>
                <w:kern w:val="0"/>
                <w:szCs w:val="21"/>
                <w:highlight w:val="none"/>
              </w:rPr>
              <w:t>帐管理</w:t>
            </w:r>
          </w:p>
          <w:p w14:paraId="4203C7C8">
            <w:pPr>
              <w:shd w:val="clear" w:color="auto" w:fill="auto"/>
              <w:spacing w:line="24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kern w:val="0"/>
                <w:szCs w:val="21"/>
                <w:highlight w:val="none"/>
              </w:rPr>
              <w:t>（5分）</w:t>
            </w:r>
          </w:p>
        </w:tc>
        <w:tc>
          <w:tcPr>
            <w:tcW w:w="5103" w:type="dxa"/>
            <w:noWrap w:val="0"/>
            <w:vAlign w:val="center"/>
          </w:tcPr>
          <w:p w14:paraId="6FBF4D1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1、及时按要求填写规定台帐；</w:t>
            </w:r>
          </w:p>
        </w:tc>
        <w:tc>
          <w:tcPr>
            <w:tcW w:w="3685" w:type="dxa"/>
            <w:vMerge w:val="restart"/>
            <w:noWrap w:val="0"/>
            <w:vAlign w:val="center"/>
          </w:tcPr>
          <w:p w14:paraId="0F7CA133">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违反一条每次扣1分。</w:t>
            </w:r>
          </w:p>
        </w:tc>
        <w:tc>
          <w:tcPr>
            <w:tcW w:w="2694" w:type="dxa"/>
            <w:noWrap w:val="0"/>
            <w:vAlign w:val="top"/>
          </w:tcPr>
          <w:p w14:paraId="3A826C7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ABF660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662E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0" w:type="dxa"/>
            <w:vMerge w:val="continue"/>
            <w:noWrap w:val="0"/>
            <w:vAlign w:val="top"/>
          </w:tcPr>
          <w:p w14:paraId="3C69374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5AB07DBF">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3CCBCE1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2、台帐内容须填写规范；</w:t>
            </w:r>
          </w:p>
        </w:tc>
        <w:tc>
          <w:tcPr>
            <w:tcW w:w="3685" w:type="dxa"/>
            <w:vMerge w:val="continue"/>
            <w:noWrap w:val="0"/>
            <w:vAlign w:val="center"/>
          </w:tcPr>
          <w:p w14:paraId="494E8C28">
            <w:pPr>
              <w:shd w:val="clear" w:color="auto" w:fill="auto"/>
              <w:jc w:val="left"/>
              <w:rPr>
                <w:rFonts w:hint="eastAsia" w:ascii="宋体" w:hAnsi="宋体" w:eastAsia="宋体" w:cs="宋体"/>
                <w:color w:val="auto"/>
                <w:szCs w:val="21"/>
                <w:highlight w:val="none"/>
              </w:rPr>
            </w:pPr>
          </w:p>
        </w:tc>
        <w:tc>
          <w:tcPr>
            <w:tcW w:w="2694" w:type="dxa"/>
            <w:noWrap w:val="0"/>
            <w:vAlign w:val="top"/>
          </w:tcPr>
          <w:p w14:paraId="0DA38BF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3E47CB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5701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0" w:type="dxa"/>
            <w:vMerge w:val="continue"/>
            <w:noWrap w:val="0"/>
            <w:vAlign w:val="top"/>
          </w:tcPr>
          <w:p w14:paraId="2C0695D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0B97AB12">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11E5E52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3、按停车区要求及时上报台帐。</w:t>
            </w:r>
          </w:p>
        </w:tc>
        <w:tc>
          <w:tcPr>
            <w:tcW w:w="3685" w:type="dxa"/>
            <w:vMerge w:val="continue"/>
            <w:noWrap w:val="0"/>
            <w:vAlign w:val="center"/>
          </w:tcPr>
          <w:p w14:paraId="0ECF3A34">
            <w:pPr>
              <w:shd w:val="clear" w:color="auto" w:fill="auto"/>
              <w:jc w:val="left"/>
              <w:rPr>
                <w:rFonts w:hint="eastAsia" w:ascii="宋体" w:hAnsi="宋体" w:eastAsia="宋体" w:cs="宋体"/>
                <w:color w:val="auto"/>
                <w:szCs w:val="21"/>
                <w:highlight w:val="none"/>
              </w:rPr>
            </w:pPr>
          </w:p>
        </w:tc>
        <w:tc>
          <w:tcPr>
            <w:tcW w:w="2694" w:type="dxa"/>
            <w:noWrap w:val="0"/>
            <w:vAlign w:val="top"/>
          </w:tcPr>
          <w:p w14:paraId="095D3E3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9D7E69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26F3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0" w:type="dxa"/>
            <w:vMerge w:val="restart"/>
            <w:noWrap w:val="0"/>
            <w:vAlign w:val="center"/>
          </w:tcPr>
          <w:p w14:paraId="3FAF4905">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岗位细则</w:t>
            </w:r>
          </w:p>
          <w:p w14:paraId="65E188CE">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（55分</w:t>
            </w:r>
          </w:p>
        </w:tc>
        <w:tc>
          <w:tcPr>
            <w:tcW w:w="1134" w:type="dxa"/>
            <w:vMerge w:val="restart"/>
            <w:noWrap w:val="0"/>
            <w:vAlign w:val="center"/>
          </w:tcPr>
          <w:p w14:paraId="364C6704">
            <w:pPr>
              <w:shd w:val="clear" w:color="auto" w:fill="auto"/>
              <w:spacing w:line="240" w:lineRule="atLeas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保安</w:t>
            </w:r>
          </w:p>
          <w:p w14:paraId="256E77CA">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（消控）</w:t>
            </w:r>
            <w:r>
              <w:rPr>
                <w:rFonts w:hint="eastAsia" w:ascii="宋体" w:hAnsi="宋体" w:eastAsia="宋体" w:cs="宋体"/>
                <w:color w:val="auto"/>
                <w:kern w:val="0"/>
                <w:szCs w:val="21"/>
                <w:highlight w:val="none"/>
              </w:rPr>
              <w:t>考核</w:t>
            </w:r>
          </w:p>
          <w:p w14:paraId="34FCADDD">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细则</w:t>
            </w:r>
          </w:p>
          <w:p w14:paraId="3521EC2C">
            <w:pPr>
              <w:shd w:val="clear" w:color="auto" w:fill="auto"/>
              <w:spacing w:line="240" w:lineRule="atLeast"/>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（20分）</w:t>
            </w:r>
          </w:p>
        </w:tc>
        <w:tc>
          <w:tcPr>
            <w:tcW w:w="5103" w:type="dxa"/>
            <w:noWrap w:val="0"/>
            <w:vAlign w:val="center"/>
          </w:tcPr>
          <w:p w14:paraId="48098CA5">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1、发现有法规明文禁止的行为，及时给予劝阻并督促改正，对现场突发事件必须及时报停车区。</w:t>
            </w:r>
          </w:p>
        </w:tc>
        <w:tc>
          <w:tcPr>
            <w:tcW w:w="3685" w:type="dxa"/>
            <w:vMerge w:val="restart"/>
            <w:noWrap w:val="0"/>
            <w:vAlign w:val="center"/>
          </w:tcPr>
          <w:p w14:paraId="31403E78">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违反一条每次扣2分。</w:t>
            </w:r>
          </w:p>
        </w:tc>
        <w:tc>
          <w:tcPr>
            <w:tcW w:w="2694" w:type="dxa"/>
            <w:noWrap w:val="0"/>
            <w:vAlign w:val="top"/>
          </w:tcPr>
          <w:p w14:paraId="6BD92A8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12C45B5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132F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0" w:type="dxa"/>
            <w:vMerge w:val="continue"/>
            <w:noWrap w:val="0"/>
            <w:vAlign w:val="top"/>
          </w:tcPr>
          <w:p w14:paraId="24FC5912">
            <w:pPr>
              <w:shd w:val="clear" w:color="auto" w:fill="auto"/>
              <w:spacing w:line="240" w:lineRule="atLeast"/>
              <w:jc w:val="center"/>
              <w:rPr>
                <w:rFonts w:hint="eastAsia" w:ascii="宋体" w:hAnsi="宋体" w:eastAsia="宋体" w:cs="宋体"/>
                <w:color w:val="auto"/>
                <w:szCs w:val="21"/>
                <w:highlight w:val="none"/>
              </w:rPr>
            </w:pPr>
          </w:p>
        </w:tc>
        <w:tc>
          <w:tcPr>
            <w:tcW w:w="1134" w:type="dxa"/>
            <w:vMerge w:val="continue"/>
            <w:noWrap w:val="0"/>
            <w:vAlign w:val="top"/>
          </w:tcPr>
          <w:p w14:paraId="38A8CBF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184EDEA8">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2、严格遵守各项操作规程或停车区规章制度，积极配合停车区工作。</w:t>
            </w:r>
          </w:p>
        </w:tc>
        <w:tc>
          <w:tcPr>
            <w:tcW w:w="3685" w:type="dxa"/>
            <w:vMerge w:val="continue"/>
            <w:noWrap w:val="0"/>
            <w:vAlign w:val="center"/>
          </w:tcPr>
          <w:p w14:paraId="687162D2">
            <w:pPr>
              <w:shd w:val="clear" w:color="auto" w:fill="auto"/>
              <w:jc w:val="left"/>
              <w:rPr>
                <w:rFonts w:hint="eastAsia" w:ascii="宋体" w:hAnsi="宋体" w:eastAsia="宋体" w:cs="宋体"/>
                <w:color w:val="auto"/>
                <w:szCs w:val="21"/>
                <w:highlight w:val="none"/>
              </w:rPr>
            </w:pPr>
          </w:p>
        </w:tc>
        <w:tc>
          <w:tcPr>
            <w:tcW w:w="2694" w:type="dxa"/>
            <w:noWrap w:val="0"/>
            <w:vAlign w:val="top"/>
          </w:tcPr>
          <w:p w14:paraId="0AA3020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22269E8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0058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Merge w:val="continue"/>
            <w:noWrap w:val="0"/>
            <w:vAlign w:val="top"/>
          </w:tcPr>
          <w:p w14:paraId="42D2683B">
            <w:pPr>
              <w:shd w:val="clear" w:color="auto" w:fill="auto"/>
              <w:spacing w:line="240" w:lineRule="atLeast"/>
              <w:jc w:val="center"/>
              <w:rPr>
                <w:rFonts w:hint="eastAsia" w:ascii="宋体" w:hAnsi="宋体" w:eastAsia="宋体" w:cs="宋体"/>
                <w:color w:val="auto"/>
                <w:szCs w:val="21"/>
                <w:highlight w:val="none"/>
              </w:rPr>
            </w:pPr>
          </w:p>
        </w:tc>
        <w:tc>
          <w:tcPr>
            <w:tcW w:w="1134" w:type="dxa"/>
            <w:vMerge w:val="continue"/>
            <w:noWrap w:val="0"/>
            <w:vAlign w:val="top"/>
          </w:tcPr>
          <w:p w14:paraId="06AFDE5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285692D1">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3、按照门卫制度规定对车辆、人员、物品进出进行登记,严把进口关。</w:t>
            </w:r>
          </w:p>
        </w:tc>
        <w:tc>
          <w:tcPr>
            <w:tcW w:w="3685" w:type="dxa"/>
            <w:vMerge w:val="continue"/>
            <w:noWrap w:val="0"/>
            <w:vAlign w:val="center"/>
          </w:tcPr>
          <w:p w14:paraId="60237BFE">
            <w:pPr>
              <w:shd w:val="clear" w:color="auto" w:fill="auto"/>
              <w:jc w:val="left"/>
              <w:rPr>
                <w:rFonts w:hint="eastAsia" w:ascii="宋体" w:hAnsi="宋体" w:eastAsia="宋体" w:cs="宋体"/>
                <w:color w:val="auto"/>
                <w:szCs w:val="21"/>
                <w:highlight w:val="none"/>
              </w:rPr>
            </w:pPr>
          </w:p>
        </w:tc>
        <w:tc>
          <w:tcPr>
            <w:tcW w:w="2694" w:type="dxa"/>
            <w:noWrap w:val="0"/>
            <w:vAlign w:val="top"/>
          </w:tcPr>
          <w:p w14:paraId="161F01A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1D48CB2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3342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10" w:type="dxa"/>
            <w:vMerge w:val="continue"/>
            <w:noWrap w:val="0"/>
            <w:vAlign w:val="top"/>
          </w:tcPr>
          <w:p w14:paraId="3E34F2DA">
            <w:pPr>
              <w:shd w:val="clear" w:color="auto" w:fill="auto"/>
              <w:spacing w:line="240" w:lineRule="atLeast"/>
              <w:jc w:val="center"/>
              <w:rPr>
                <w:rFonts w:hint="eastAsia" w:ascii="宋体" w:hAnsi="宋体" w:eastAsia="宋体" w:cs="宋体"/>
                <w:color w:val="auto"/>
                <w:szCs w:val="21"/>
                <w:highlight w:val="none"/>
              </w:rPr>
            </w:pPr>
          </w:p>
        </w:tc>
        <w:tc>
          <w:tcPr>
            <w:tcW w:w="1134" w:type="dxa"/>
            <w:vMerge w:val="continue"/>
            <w:noWrap w:val="0"/>
            <w:vAlign w:val="top"/>
          </w:tcPr>
          <w:p w14:paraId="6A4E997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158112F5">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4、保证绿色通道及停车场畅通，对各类有危及人身安全及行车安全的位置及时放置明显标识和具体的防范措施。</w:t>
            </w:r>
          </w:p>
        </w:tc>
        <w:tc>
          <w:tcPr>
            <w:tcW w:w="3685" w:type="dxa"/>
            <w:vMerge w:val="continue"/>
            <w:noWrap w:val="0"/>
            <w:vAlign w:val="center"/>
          </w:tcPr>
          <w:p w14:paraId="5E5DE13E">
            <w:pPr>
              <w:shd w:val="clear" w:color="auto" w:fill="auto"/>
              <w:jc w:val="left"/>
              <w:rPr>
                <w:rFonts w:hint="eastAsia" w:ascii="宋体" w:hAnsi="宋体" w:eastAsia="宋体" w:cs="宋体"/>
                <w:color w:val="auto"/>
                <w:szCs w:val="21"/>
                <w:highlight w:val="none"/>
              </w:rPr>
            </w:pPr>
          </w:p>
        </w:tc>
        <w:tc>
          <w:tcPr>
            <w:tcW w:w="2694" w:type="dxa"/>
            <w:noWrap w:val="0"/>
            <w:vAlign w:val="top"/>
          </w:tcPr>
          <w:p w14:paraId="1D76A37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4247F2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bl>
    <w:p w14:paraId="75BA68AD">
      <w:pPr>
        <w:pStyle w:val="12"/>
        <w:shd w:val="clear" w:color="auto" w:fill="auto"/>
        <w:spacing w:before="162" w:after="162"/>
        <w:rPr>
          <w:rFonts w:hint="eastAsia" w:ascii="宋体" w:hAnsi="宋体" w:eastAsia="宋体" w:cs="宋体"/>
          <w:color w:val="auto"/>
          <w:highlight w:val="none"/>
        </w:rPr>
      </w:pPr>
    </w:p>
    <w:p w14:paraId="2B92CEBF">
      <w:pPr>
        <w:pStyle w:val="12"/>
        <w:shd w:val="clear" w:color="auto" w:fill="auto"/>
        <w:spacing w:before="162" w:after="162"/>
        <w:rPr>
          <w:rFonts w:hint="eastAsia" w:ascii="宋体" w:hAnsi="宋体" w:eastAsia="宋体" w:cs="宋体"/>
          <w:color w:val="auto"/>
          <w:highlight w:val="none"/>
        </w:rPr>
      </w:pPr>
    </w:p>
    <w:p w14:paraId="03B0A53C">
      <w:pPr>
        <w:pStyle w:val="12"/>
        <w:shd w:val="clear" w:color="auto" w:fill="auto"/>
        <w:spacing w:before="162" w:after="162"/>
        <w:rPr>
          <w:rFonts w:hint="eastAsia" w:ascii="宋体" w:hAnsi="宋体" w:eastAsia="宋体" w:cs="宋体"/>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5103"/>
        <w:gridCol w:w="3827"/>
        <w:gridCol w:w="2552"/>
        <w:gridCol w:w="993"/>
      </w:tblGrid>
      <w:tr w14:paraId="7169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44" w:type="dxa"/>
            <w:gridSpan w:val="2"/>
            <w:noWrap w:val="0"/>
            <w:vAlign w:val="center"/>
          </w:tcPr>
          <w:p w14:paraId="07C59DE0">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5103" w:type="dxa"/>
            <w:noWrap w:val="0"/>
            <w:vAlign w:val="center"/>
          </w:tcPr>
          <w:p w14:paraId="3CFC4EA1">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考核标准</w:t>
            </w:r>
          </w:p>
        </w:tc>
        <w:tc>
          <w:tcPr>
            <w:tcW w:w="3827" w:type="dxa"/>
            <w:noWrap w:val="0"/>
            <w:vAlign w:val="center"/>
          </w:tcPr>
          <w:p w14:paraId="06316F58">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考核办法</w:t>
            </w:r>
          </w:p>
        </w:tc>
        <w:tc>
          <w:tcPr>
            <w:tcW w:w="2552" w:type="dxa"/>
            <w:noWrap w:val="0"/>
            <w:vAlign w:val="top"/>
          </w:tcPr>
          <w:p w14:paraId="435D29EF">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扣分事项</w:t>
            </w:r>
          </w:p>
        </w:tc>
        <w:tc>
          <w:tcPr>
            <w:tcW w:w="993" w:type="dxa"/>
            <w:noWrap w:val="0"/>
            <w:vAlign w:val="top"/>
          </w:tcPr>
          <w:p w14:paraId="1C0AD747">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得分</w:t>
            </w:r>
          </w:p>
        </w:tc>
      </w:tr>
      <w:tr w14:paraId="5420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0" w:type="dxa"/>
            <w:vMerge w:val="restart"/>
            <w:noWrap w:val="0"/>
            <w:vAlign w:val="center"/>
          </w:tcPr>
          <w:p w14:paraId="1010F77F">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岗位细则</w:t>
            </w:r>
          </w:p>
          <w:p w14:paraId="4F5BD28C">
            <w:pPr>
              <w:shd w:val="clear" w:color="auto" w:fill="auto"/>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（55分</w:t>
            </w:r>
          </w:p>
        </w:tc>
        <w:tc>
          <w:tcPr>
            <w:tcW w:w="1134" w:type="dxa"/>
            <w:vMerge w:val="restart"/>
            <w:noWrap w:val="0"/>
            <w:vAlign w:val="center"/>
          </w:tcPr>
          <w:p w14:paraId="1382AA45">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保安</w:t>
            </w:r>
          </w:p>
          <w:p w14:paraId="00AAC759">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（消控）考核</w:t>
            </w:r>
          </w:p>
          <w:p w14:paraId="6F8A4E88">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细则</w:t>
            </w:r>
          </w:p>
          <w:p w14:paraId="04C48F32">
            <w:pPr>
              <w:shd w:val="clear" w:color="auto" w:fill="auto"/>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kern w:val="0"/>
                <w:szCs w:val="21"/>
                <w:highlight w:val="none"/>
              </w:rPr>
              <w:t>（20分</w:t>
            </w:r>
          </w:p>
        </w:tc>
        <w:tc>
          <w:tcPr>
            <w:tcW w:w="5103" w:type="dxa"/>
            <w:noWrap w:val="0"/>
            <w:vAlign w:val="center"/>
          </w:tcPr>
          <w:p w14:paraId="2879777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5、保安交接班时必须列队交接。</w:t>
            </w:r>
          </w:p>
        </w:tc>
        <w:tc>
          <w:tcPr>
            <w:tcW w:w="3827" w:type="dxa"/>
            <w:vMerge w:val="restart"/>
            <w:noWrap w:val="0"/>
            <w:vAlign w:val="center"/>
          </w:tcPr>
          <w:p w14:paraId="6D284CE9">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违反一条每次扣2分。</w:t>
            </w:r>
          </w:p>
        </w:tc>
        <w:tc>
          <w:tcPr>
            <w:tcW w:w="2552" w:type="dxa"/>
            <w:noWrap w:val="0"/>
            <w:vAlign w:val="top"/>
          </w:tcPr>
          <w:p w14:paraId="67DCF2A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4C751FB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2497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10" w:type="dxa"/>
            <w:vMerge w:val="continue"/>
            <w:noWrap w:val="0"/>
            <w:vAlign w:val="top"/>
          </w:tcPr>
          <w:p w14:paraId="7FCC7D6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342D2B81">
            <w:pPr>
              <w:shd w:val="clear" w:color="auto" w:fill="auto"/>
              <w:spacing w:line="240" w:lineRule="atLeast"/>
              <w:jc w:val="center"/>
              <w:rPr>
                <w:rFonts w:hint="eastAsia" w:ascii="宋体" w:hAnsi="宋体" w:eastAsia="宋体" w:cs="宋体"/>
                <w:bCs/>
                <w:color w:val="auto"/>
                <w:szCs w:val="21"/>
                <w:highlight w:val="none"/>
              </w:rPr>
            </w:pPr>
          </w:p>
        </w:tc>
        <w:tc>
          <w:tcPr>
            <w:tcW w:w="5103" w:type="dxa"/>
            <w:noWrap w:val="0"/>
            <w:vAlign w:val="center"/>
          </w:tcPr>
          <w:p w14:paraId="4BE4569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6、主动配合交警、公安人员做好警卫、封道及事故、案件现场保护工作。</w:t>
            </w:r>
          </w:p>
        </w:tc>
        <w:tc>
          <w:tcPr>
            <w:tcW w:w="3827" w:type="dxa"/>
            <w:vMerge w:val="continue"/>
            <w:noWrap w:val="0"/>
            <w:vAlign w:val="center"/>
          </w:tcPr>
          <w:p w14:paraId="47BAD694">
            <w:pPr>
              <w:shd w:val="clear" w:color="auto" w:fill="auto"/>
              <w:jc w:val="left"/>
              <w:rPr>
                <w:rFonts w:hint="eastAsia" w:ascii="宋体" w:hAnsi="宋体" w:eastAsia="宋体" w:cs="宋体"/>
                <w:color w:val="auto"/>
                <w:szCs w:val="21"/>
                <w:highlight w:val="none"/>
              </w:rPr>
            </w:pPr>
          </w:p>
        </w:tc>
        <w:tc>
          <w:tcPr>
            <w:tcW w:w="2552" w:type="dxa"/>
            <w:noWrap w:val="0"/>
            <w:vAlign w:val="top"/>
          </w:tcPr>
          <w:p w14:paraId="2F2505E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58F0C6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DDE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10" w:type="dxa"/>
            <w:vMerge w:val="continue"/>
            <w:noWrap w:val="0"/>
            <w:vAlign w:val="top"/>
          </w:tcPr>
          <w:p w14:paraId="67C66E2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235D4157">
            <w:pPr>
              <w:shd w:val="clear" w:color="auto" w:fill="auto"/>
              <w:spacing w:line="240" w:lineRule="atLeast"/>
              <w:jc w:val="center"/>
              <w:rPr>
                <w:rFonts w:hint="eastAsia" w:ascii="宋体" w:hAnsi="宋体" w:eastAsia="宋体" w:cs="宋体"/>
                <w:bCs/>
                <w:color w:val="auto"/>
                <w:szCs w:val="21"/>
                <w:highlight w:val="none"/>
              </w:rPr>
            </w:pPr>
          </w:p>
        </w:tc>
        <w:tc>
          <w:tcPr>
            <w:tcW w:w="5103" w:type="dxa"/>
            <w:noWrap w:val="0"/>
            <w:vAlign w:val="center"/>
          </w:tcPr>
          <w:p w14:paraId="12CC5D5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7、及时配合处理治安、消防事件。</w:t>
            </w:r>
          </w:p>
        </w:tc>
        <w:tc>
          <w:tcPr>
            <w:tcW w:w="3827" w:type="dxa"/>
            <w:vMerge w:val="continue"/>
            <w:noWrap w:val="0"/>
            <w:vAlign w:val="center"/>
          </w:tcPr>
          <w:p w14:paraId="02A140AC">
            <w:pPr>
              <w:shd w:val="clear" w:color="auto" w:fill="auto"/>
              <w:jc w:val="left"/>
              <w:rPr>
                <w:rFonts w:hint="eastAsia" w:ascii="宋体" w:hAnsi="宋体" w:eastAsia="宋体" w:cs="宋体"/>
                <w:color w:val="auto"/>
                <w:szCs w:val="21"/>
                <w:highlight w:val="none"/>
              </w:rPr>
            </w:pPr>
          </w:p>
        </w:tc>
        <w:tc>
          <w:tcPr>
            <w:tcW w:w="2552" w:type="dxa"/>
            <w:noWrap w:val="0"/>
            <w:vAlign w:val="top"/>
          </w:tcPr>
          <w:p w14:paraId="5E023AD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76CDDA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106E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0" w:type="dxa"/>
            <w:vMerge w:val="continue"/>
            <w:noWrap w:val="0"/>
            <w:vAlign w:val="top"/>
          </w:tcPr>
          <w:p w14:paraId="1A71A8E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center"/>
          </w:tcPr>
          <w:p w14:paraId="453C1780">
            <w:pPr>
              <w:shd w:val="clear" w:color="auto" w:fill="auto"/>
              <w:spacing w:line="240" w:lineRule="atLeast"/>
              <w:jc w:val="center"/>
              <w:rPr>
                <w:rFonts w:hint="eastAsia" w:ascii="宋体" w:hAnsi="宋体" w:eastAsia="宋体" w:cs="宋体"/>
                <w:color w:val="auto"/>
                <w:sz w:val="18"/>
                <w:szCs w:val="18"/>
                <w:highlight w:val="none"/>
              </w:rPr>
            </w:pPr>
          </w:p>
        </w:tc>
        <w:tc>
          <w:tcPr>
            <w:tcW w:w="5103" w:type="dxa"/>
            <w:noWrap w:val="0"/>
            <w:vAlign w:val="center"/>
          </w:tcPr>
          <w:p w14:paraId="33014CD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8、主动引导车辆按区停放；危化品车辆引导到专用停车位停放，做好登记。</w:t>
            </w:r>
          </w:p>
        </w:tc>
        <w:tc>
          <w:tcPr>
            <w:tcW w:w="3827" w:type="dxa"/>
            <w:vMerge w:val="continue"/>
            <w:noWrap w:val="0"/>
            <w:vAlign w:val="center"/>
          </w:tcPr>
          <w:p w14:paraId="11C39DFD">
            <w:pPr>
              <w:shd w:val="clear" w:color="auto" w:fill="auto"/>
              <w:jc w:val="left"/>
              <w:rPr>
                <w:rFonts w:hint="eastAsia" w:ascii="宋体" w:hAnsi="宋体" w:eastAsia="宋体" w:cs="宋体"/>
                <w:color w:val="auto"/>
                <w:szCs w:val="21"/>
                <w:highlight w:val="none"/>
              </w:rPr>
            </w:pPr>
          </w:p>
        </w:tc>
        <w:tc>
          <w:tcPr>
            <w:tcW w:w="2552" w:type="dxa"/>
            <w:noWrap w:val="0"/>
            <w:vAlign w:val="top"/>
          </w:tcPr>
          <w:p w14:paraId="31D1BE9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FF7C43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0BF1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0" w:type="dxa"/>
            <w:vMerge w:val="continue"/>
            <w:noWrap w:val="0"/>
            <w:vAlign w:val="top"/>
          </w:tcPr>
          <w:p w14:paraId="7F83477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45AC0A06">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4282D29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9、每天定时定位对各营业场所、停车场、消防重点部位、安全设施进行流动巡逻，夜间巡查每2小时不少于1次；</w:t>
            </w:r>
          </w:p>
        </w:tc>
        <w:tc>
          <w:tcPr>
            <w:tcW w:w="3827" w:type="dxa"/>
            <w:vMerge w:val="continue"/>
            <w:noWrap w:val="0"/>
            <w:vAlign w:val="center"/>
          </w:tcPr>
          <w:p w14:paraId="3AC47003">
            <w:pPr>
              <w:shd w:val="clear" w:color="auto" w:fill="auto"/>
              <w:jc w:val="left"/>
              <w:rPr>
                <w:rFonts w:hint="eastAsia" w:ascii="宋体" w:hAnsi="宋体" w:eastAsia="宋体" w:cs="宋体"/>
                <w:color w:val="auto"/>
                <w:szCs w:val="21"/>
                <w:highlight w:val="none"/>
              </w:rPr>
            </w:pPr>
          </w:p>
        </w:tc>
        <w:tc>
          <w:tcPr>
            <w:tcW w:w="2552" w:type="dxa"/>
            <w:noWrap w:val="0"/>
            <w:vAlign w:val="top"/>
          </w:tcPr>
          <w:p w14:paraId="558B247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8E301C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598C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10" w:type="dxa"/>
            <w:vMerge w:val="continue"/>
            <w:noWrap w:val="0"/>
            <w:vAlign w:val="top"/>
          </w:tcPr>
          <w:p w14:paraId="022410A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4822D9B0">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6B05C13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10、保护停车区财产，当日发现停车区财产损失先立即报停车区值班人员再进行相应赔偿。</w:t>
            </w:r>
          </w:p>
        </w:tc>
        <w:tc>
          <w:tcPr>
            <w:tcW w:w="3827" w:type="dxa"/>
            <w:noWrap w:val="0"/>
            <w:vAlign w:val="center"/>
          </w:tcPr>
          <w:p w14:paraId="4E0A4D37">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停车区财产损失未及时发现，按实赔偿,及时发现并获得赔偿的，奖励2-5分</w:t>
            </w:r>
          </w:p>
        </w:tc>
        <w:tc>
          <w:tcPr>
            <w:tcW w:w="2552" w:type="dxa"/>
            <w:noWrap w:val="0"/>
            <w:vAlign w:val="top"/>
          </w:tcPr>
          <w:p w14:paraId="742D9FB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687376E">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3647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0" w:type="dxa"/>
            <w:vMerge w:val="continue"/>
            <w:noWrap w:val="0"/>
            <w:vAlign w:val="top"/>
          </w:tcPr>
          <w:p w14:paraId="3B5AAA7E">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63A71037">
            <w:pPr>
              <w:shd w:val="clear" w:color="auto" w:fill="auto"/>
              <w:spacing w:line="240" w:lineRule="atLeast"/>
              <w:jc w:val="center"/>
              <w:rPr>
                <w:rFonts w:hint="eastAsia" w:ascii="宋体" w:hAnsi="宋体" w:eastAsia="宋体" w:cs="宋体"/>
                <w:color w:val="auto"/>
                <w:highlight w:val="none"/>
              </w:rPr>
            </w:pPr>
          </w:p>
        </w:tc>
        <w:tc>
          <w:tcPr>
            <w:tcW w:w="5103" w:type="dxa"/>
            <w:noWrap w:val="0"/>
            <w:vAlign w:val="center"/>
          </w:tcPr>
          <w:p w14:paraId="7A2B7C9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11、工作中因违章操作造成设备损坏。</w:t>
            </w:r>
          </w:p>
        </w:tc>
        <w:tc>
          <w:tcPr>
            <w:tcW w:w="3827" w:type="dxa"/>
            <w:noWrap w:val="0"/>
            <w:vAlign w:val="center"/>
          </w:tcPr>
          <w:p w14:paraId="290191AB">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按实赔偿。</w:t>
            </w:r>
          </w:p>
        </w:tc>
        <w:tc>
          <w:tcPr>
            <w:tcW w:w="2552" w:type="dxa"/>
            <w:noWrap w:val="0"/>
            <w:vAlign w:val="top"/>
          </w:tcPr>
          <w:p w14:paraId="27F55C4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A22BA1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0135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0" w:type="dxa"/>
            <w:vMerge w:val="continue"/>
            <w:noWrap w:val="0"/>
            <w:vAlign w:val="top"/>
          </w:tcPr>
          <w:p w14:paraId="3278E84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3393366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4F3F91A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12、发现安全隐患及时采取有效措施进行处理，处理不了立即上报值班领导。</w:t>
            </w:r>
          </w:p>
        </w:tc>
        <w:tc>
          <w:tcPr>
            <w:tcW w:w="3827" w:type="dxa"/>
            <w:vMerge w:val="restart"/>
            <w:noWrap w:val="0"/>
            <w:vAlign w:val="center"/>
          </w:tcPr>
          <w:p w14:paraId="0DD2BAF9">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违反一条每次扣2分。</w:t>
            </w:r>
          </w:p>
        </w:tc>
        <w:tc>
          <w:tcPr>
            <w:tcW w:w="2552" w:type="dxa"/>
            <w:noWrap w:val="0"/>
            <w:vAlign w:val="top"/>
          </w:tcPr>
          <w:p w14:paraId="59A191F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33FB269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5738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Merge w:val="continue"/>
            <w:noWrap w:val="0"/>
            <w:vAlign w:val="top"/>
          </w:tcPr>
          <w:p w14:paraId="2A70325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5E9E7B5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6CDF48F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13、按消防安全部门的规定管理、使用消防设施、器材，完好率达到100% 。</w:t>
            </w:r>
          </w:p>
        </w:tc>
        <w:tc>
          <w:tcPr>
            <w:tcW w:w="3827" w:type="dxa"/>
            <w:vMerge w:val="continue"/>
            <w:noWrap w:val="0"/>
            <w:vAlign w:val="center"/>
          </w:tcPr>
          <w:p w14:paraId="6BA07E66">
            <w:pPr>
              <w:shd w:val="clear" w:color="auto" w:fill="auto"/>
              <w:jc w:val="left"/>
              <w:rPr>
                <w:rFonts w:hint="eastAsia" w:ascii="宋体" w:hAnsi="宋体" w:eastAsia="宋体" w:cs="宋体"/>
                <w:color w:val="auto"/>
                <w:szCs w:val="21"/>
                <w:highlight w:val="none"/>
              </w:rPr>
            </w:pPr>
          </w:p>
        </w:tc>
        <w:tc>
          <w:tcPr>
            <w:tcW w:w="2552" w:type="dxa"/>
            <w:noWrap w:val="0"/>
            <w:vAlign w:val="top"/>
          </w:tcPr>
          <w:p w14:paraId="0484F95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21D7E0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6181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10" w:type="dxa"/>
            <w:vMerge w:val="continue"/>
            <w:noWrap w:val="0"/>
            <w:vAlign w:val="top"/>
          </w:tcPr>
          <w:p w14:paraId="3CA8F5E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275AB3D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3D06730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14、因工作失职发生车辆或车内物品被盗等治安案件。</w:t>
            </w:r>
          </w:p>
        </w:tc>
        <w:tc>
          <w:tcPr>
            <w:tcW w:w="3827" w:type="dxa"/>
            <w:vMerge w:val="continue"/>
            <w:noWrap w:val="0"/>
            <w:vAlign w:val="center"/>
          </w:tcPr>
          <w:p w14:paraId="0970AA3F">
            <w:pPr>
              <w:shd w:val="clear" w:color="auto" w:fill="auto"/>
              <w:jc w:val="left"/>
              <w:rPr>
                <w:rFonts w:hint="eastAsia" w:ascii="宋体" w:hAnsi="宋体" w:eastAsia="宋体" w:cs="宋体"/>
                <w:color w:val="auto"/>
                <w:szCs w:val="21"/>
                <w:highlight w:val="none"/>
              </w:rPr>
            </w:pPr>
          </w:p>
        </w:tc>
        <w:tc>
          <w:tcPr>
            <w:tcW w:w="2552" w:type="dxa"/>
            <w:noWrap w:val="0"/>
            <w:vAlign w:val="top"/>
          </w:tcPr>
          <w:p w14:paraId="607B86D5">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18AEAD4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bl>
    <w:p w14:paraId="0B75F7F2">
      <w:pPr>
        <w:pStyle w:val="12"/>
        <w:shd w:val="clear" w:color="auto" w:fill="auto"/>
        <w:spacing w:before="162" w:after="162"/>
        <w:rPr>
          <w:rFonts w:hint="eastAsia" w:ascii="宋体" w:hAnsi="宋体" w:eastAsia="宋体" w:cs="宋体"/>
          <w:color w:val="auto"/>
          <w:highlight w:val="none"/>
        </w:rPr>
      </w:pPr>
    </w:p>
    <w:p w14:paraId="72ECD57A">
      <w:pPr>
        <w:pStyle w:val="12"/>
        <w:shd w:val="clear" w:color="auto" w:fill="auto"/>
        <w:spacing w:before="162" w:after="162"/>
        <w:rPr>
          <w:rFonts w:hint="eastAsia" w:ascii="宋体" w:hAnsi="宋体" w:eastAsia="宋体" w:cs="宋体"/>
          <w:color w:val="auto"/>
          <w:highlight w:val="none"/>
        </w:rPr>
      </w:pPr>
    </w:p>
    <w:p w14:paraId="71D11DEA">
      <w:pPr>
        <w:pStyle w:val="12"/>
        <w:shd w:val="clear" w:color="auto" w:fill="auto"/>
        <w:spacing w:before="162" w:after="162"/>
        <w:rPr>
          <w:rFonts w:hint="eastAsia" w:ascii="宋体" w:hAnsi="宋体" w:eastAsia="宋体" w:cs="宋体"/>
          <w:color w:val="auto"/>
          <w:highlight w:val="none"/>
        </w:rPr>
      </w:pPr>
    </w:p>
    <w:p w14:paraId="3C7DA3C3">
      <w:pPr>
        <w:pStyle w:val="12"/>
        <w:shd w:val="clear" w:color="auto" w:fill="auto"/>
        <w:spacing w:before="162" w:after="162"/>
        <w:rPr>
          <w:rFonts w:hint="eastAsia" w:ascii="宋体" w:hAnsi="宋体" w:eastAsia="宋体" w:cs="宋体"/>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5103"/>
        <w:gridCol w:w="3685"/>
        <w:gridCol w:w="2694"/>
        <w:gridCol w:w="993"/>
      </w:tblGrid>
      <w:tr w14:paraId="54DF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85" w:type="dxa"/>
            <w:gridSpan w:val="2"/>
            <w:noWrap w:val="0"/>
            <w:vAlign w:val="center"/>
          </w:tcPr>
          <w:p w14:paraId="3C31DE54">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5103" w:type="dxa"/>
            <w:noWrap w:val="0"/>
            <w:vAlign w:val="center"/>
          </w:tcPr>
          <w:p w14:paraId="19C3D370">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考核标准</w:t>
            </w:r>
          </w:p>
        </w:tc>
        <w:tc>
          <w:tcPr>
            <w:tcW w:w="3685" w:type="dxa"/>
            <w:noWrap w:val="0"/>
            <w:vAlign w:val="center"/>
          </w:tcPr>
          <w:p w14:paraId="7039F74E">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考核办法</w:t>
            </w:r>
          </w:p>
        </w:tc>
        <w:tc>
          <w:tcPr>
            <w:tcW w:w="2694" w:type="dxa"/>
            <w:noWrap w:val="0"/>
            <w:vAlign w:val="top"/>
          </w:tcPr>
          <w:p w14:paraId="744D3C89">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扣分事项</w:t>
            </w:r>
          </w:p>
        </w:tc>
        <w:tc>
          <w:tcPr>
            <w:tcW w:w="993" w:type="dxa"/>
            <w:noWrap w:val="0"/>
            <w:vAlign w:val="top"/>
          </w:tcPr>
          <w:p w14:paraId="0D1D5CD8">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得分</w:t>
            </w:r>
          </w:p>
        </w:tc>
      </w:tr>
      <w:tr w14:paraId="25D2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Merge w:val="restart"/>
            <w:noWrap w:val="0"/>
            <w:vAlign w:val="center"/>
          </w:tcPr>
          <w:p w14:paraId="79B26BB4">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岗位</w:t>
            </w:r>
          </w:p>
          <w:p w14:paraId="582D78B2">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细则</w:t>
            </w:r>
          </w:p>
          <w:p w14:paraId="7A2496E1">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（55分</w:t>
            </w:r>
          </w:p>
        </w:tc>
        <w:tc>
          <w:tcPr>
            <w:tcW w:w="1134" w:type="dxa"/>
            <w:vMerge w:val="restart"/>
            <w:noWrap w:val="0"/>
            <w:vAlign w:val="center"/>
          </w:tcPr>
          <w:p w14:paraId="617A79C6">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保洁</w:t>
            </w:r>
          </w:p>
          <w:p w14:paraId="1F852485">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岗位</w:t>
            </w:r>
          </w:p>
          <w:p w14:paraId="2945B26F">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考核</w:t>
            </w:r>
          </w:p>
          <w:p w14:paraId="0462876F">
            <w:pPr>
              <w:shd w:val="clear" w:color="auto" w:fill="auto"/>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kern w:val="0"/>
                <w:szCs w:val="21"/>
                <w:highlight w:val="none"/>
              </w:rPr>
              <w:t>细则</w:t>
            </w:r>
          </w:p>
          <w:p w14:paraId="57989D80">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p>
          <w:p w14:paraId="1AF4E082">
            <w:pPr>
              <w:shd w:val="clear" w:color="auto" w:fill="auto"/>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（20分）</w:t>
            </w:r>
          </w:p>
        </w:tc>
        <w:tc>
          <w:tcPr>
            <w:tcW w:w="5103" w:type="dxa"/>
            <w:noWrap w:val="0"/>
            <w:vAlign w:val="center"/>
          </w:tcPr>
          <w:p w14:paraId="3AB8889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1、发现有法规明文禁止的行为，及时给予劝阻并督促改正，报有关停车区主管部门。</w:t>
            </w:r>
          </w:p>
        </w:tc>
        <w:tc>
          <w:tcPr>
            <w:tcW w:w="3685" w:type="dxa"/>
            <w:vMerge w:val="restart"/>
            <w:noWrap w:val="0"/>
            <w:vAlign w:val="center"/>
          </w:tcPr>
          <w:p w14:paraId="45A21C06">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违反一条每次扣2分。</w:t>
            </w:r>
          </w:p>
        </w:tc>
        <w:tc>
          <w:tcPr>
            <w:tcW w:w="2694" w:type="dxa"/>
            <w:noWrap w:val="0"/>
            <w:vAlign w:val="top"/>
          </w:tcPr>
          <w:p w14:paraId="296678E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38AAA2B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871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51" w:type="dxa"/>
            <w:vMerge w:val="continue"/>
            <w:noWrap w:val="0"/>
            <w:vAlign w:val="top"/>
          </w:tcPr>
          <w:p w14:paraId="5EF75DE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2200B0AB">
            <w:pPr>
              <w:shd w:val="clear" w:color="auto" w:fill="auto"/>
              <w:spacing w:line="240" w:lineRule="atLeast"/>
              <w:jc w:val="center"/>
              <w:rPr>
                <w:rFonts w:hint="eastAsia" w:ascii="宋体" w:hAnsi="宋体" w:eastAsia="宋体" w:cs="宋体"/>
                <w:bCs/>
                <w:color w:val="auto"/>
                <w:szCs w:val="21"/>
                <w:highlight w:val="none"/>
              </w:rPr>
            </w:pPr>
          </w:p>
        </w:tc>
        <w:tc>
          <w:tcPr>
            <w:tcW w:w="5103" w:type="dxa"/>
            <w:noWrap w:val="0"/>
            <w:vAlign w:val="center"/>
          </w:tcPr>
          <w:p w14:paraId="00ACBA1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2、严格遵守各项操作规程或停车区规章制度，积极配合停车区开展工作。</w:t>
            </w:r>
          </w:p>
        </w:tc>
        <w:tc>
          <w:tcPr>
            <w:tcW w:w="3685" w:type="dxa"/>
            <w:vMerge w:val="continue"/>
            <w:noWrap w:val="0"/>
            <w:vAlign w:val="center"/>
          </w:tcPr>
          <w:p w14:paraId="29740E88">
            <w:pPr>
              <w:shd w:val="clear" w:color="auto" w:fill="auto"/>
              <w:jc w:val="left"/>
              <w:rPr>
                <w:rFonts w:hint="eastAsia" w:ascii="宋体" w:hAnsi="宋体" w:eastAsia="宋体" w:cs="宋体"/>
                <w:color w:val="auto"/>
                <w:szCs w:val="21"/>
                <w:highlight w:val="none"/>
              </w:rPr>
            </w:pPr>
          </w:p>
        </w:tc>
        <w:tc>
          <w:tcPr>
            <w:tcW w:w="2694" w:type="dxa"/>
            <w:noWrap w:val="0"/>
            <w:vAlign w:val="top"/>
          </w:tcPr>
          <w:p w14:paraId="1405A29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91F122E">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5460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51" w:type="dxa"/>
            <w:vMerge w:val="continue"/>
            <w:noWrap w:val="0"/>
            <w:vAlign w:val="top"/>
          </w:tcPr>
          <w:p w14:paraId="5556C12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2BDF0860">
            <w:pPr>
              <w:shd w:val="clear" w:color="auto" w:fill="auto"/>
              <w:spacing w:line="240" w:lineRule="atLeast"/>
              <w:jc w:val="center"/>
              <w:rPr>
                <w:rFonts w:hint="eastAsia" w:ascii="宋体" w:hAnsi="宋体" w:eastAsia="宋体" w:cs="宋体"/>
                <w:bCs/>
                <w:color w:val="auto"/>
                <w:szCs w:val="21"/>
                <w:highlight w:val="none"/>
              </w:rPr>
            </w:pPr>
          </w:p>
        </w:tc>
        <w:tc>
          <w:tcPr>
            <w:tcW w:w="5103" w:type="dxa"/>
            <w:noWrap w:val="0"/>
            <w:vAlign w:val="center"/>
          </w:tcPr>
          <w:p w14:paraId="4C39F4F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3、每日对公厕按时段进行多次清洗自检，并作好记录；公厕夜班每隔二小时冲洗一次，办公楼卫生清理每日不少于二次，公共场所的走廊、过道、楼梯随脏随清扫。</w:t>
            </w:r>
          </w:p>
        </w:tc>
        <w:tc>
          <w:tcPr>
            <w:tcW w:w="3685" w:type="dxa"/>
            <w:vMerge w:val="continue"/>
            <w:noWrap w:val="0"/>
            <w:vAlign w:val="center"/>
          </w:tcPr>
          <w:p w14:paraId="6F9629E2">
            <w:pPr>
              <w:shd w:val="clear" w:color="auto" w:fill="auto"/>
              <w:jc w:val="left"/>
              <w:rPr>
                <w:rFonts w:hint="eastAsia" w:ascii="宋体" w:hAnsi="宋体" w:eastAsia="宋体" w:cs="宋体"/>
                <w:color w:val="auto"/>
                <w:szCs w:val="21"/>
                <w:highlight w:val="none"/>
              </w:rPr>
            </w:pPr>
          </w:p>
        </w:tc>
        <w:tc>
          <w:tcPr>
            <w:tcW w:w="2694" w:type="dxa"/>
            <w:noWrap w:val="0"/>
            <w:vAlign w:val="top"/>
          </w:tcPr>
          <w:p w14:paraId="2C657B3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149A928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0EB2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Merge w:val="continue"/>
            <w:noWrap w:val="0"/>
            <w:vAlign w:val="top"/>
          </w:tcPr>
          <w:p w14:paraId="2D73CB7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center"/>
          </w:tcPr>
          <w:p w14:paraId="54472CE7">
            <w:pPr>
              <w:shd w:val="clear" w:color="auto" w:fill="auto"/>
              <w:spacing w:line="240" w:lineRule="atLeast"/>
              <w:jc w:val="center"/>
              <w:rPr>
                <w:rFonts w:hint="eastAsia" w:ascii="宋体" w:hAnsi="宋体" w:eastAsia="宋体" w:cs="宋体"/>
                <w:color w:val="auto"/>
                <w:sz w:val="18"/>
                <w:szCs w:val="18"/>
                <w:highlight w:val="none"/>
              </w:rPr>
            </w:pPr>
          </w:p>
        </w:tc>
        <w:tc>
          <w:tcPr>
            <w:tcW w:w="5103" w:type="dxa"/>
            <w:noWrap w:val="0"/>
            <w:vAlign w:val="center"/>
          </w:tcPr>
          <w:p w14:paraId="46CA34F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4、垃圾桶（果皮箱）表面清洁无污渍，垃圾及时清运。纸篓（桶内）垃圾不得超过篓深（桶深）2/3。</w:t>
            </w:r>
          </w:p>
        </w:tc>
        <w:tc>
          <w:tcPr>
            <w:tcW w:w="3685" w:type="dxa"/>
            <w:vMerge w:val="continue"/>
            <w:noWrap w:val="0"/>
            <w:vAlign w:val="center"/>
          </w:tcPr>
          <w:p w14:paraId="6A30727C">
            <w:pPr>
              <w:shd w:val="clear" w:color="auto" w:fill="auto"/>
              <w:jc w:val="left"/>
              <w:rPr>
                <w:rFonts w:hint="eastAsia" w:ascii="宋体" w:hAnsi="宋体" w:eastAsia="宋体" w:cs="宋体"/>
                <w:color w:val="auto"/>
                <w:szCs w:val="21"/>
                <w:highlight w:val="none"/>
              </w:rPr>
            </w:pPr>
          </w:p>
        </w:tc>
        <w:tc>
          <w:tcPr>
            <w:tcW w:w="2694" w:type="dxa"/>
            <w:noWrap w:val="0"/>
            <w:vAlign w:val="top"/>
          </w:tcPr>
          <w:p w14:paraId="1AFEEF7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EA83C0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0B17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Merge w:val="continue"/>
            <w:noWrap w:val="0"/>
            <w:vAlign w:val="top"/>
          </w:tcPr>
          <w:p w14:paraId="180FC19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23642EF6">
            <w:pPr>
              <w:shd w:val="clear" w:color="auto" w:fill="auto"/>
              <w:spacing w:line="240" w:lineRule="atLeast"/>
              <w:jc w:val="center"/>
              <w:rPr>
                <w:rFonts w:hint="eastAsia" w:ascii="宋体" w:hAnsi="宋体" w:eastAsia="宋体" w:cs="宋体"/>
                <w:bCs/>
                <w:color w:val="auto"/>
                <w:szCs w:val="21"/>
                <w:highlight w:val="none"/>
              </w:rPr>
            </w:pPr>
          </w:p>
        </w:tc>
        <w:tc>
          <w:tcPr>
            <w:tcW w:w="5103" w:type="dxa"/>
            <w:noWrap w:val="0"/>
            <w:vAlign w:val="center"/>
          </w:tcPr>
          <w:p w14:paraId="0986FAF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5、边沟、下水道、垃圾房、垃圾桶的消毒杀菌、防虫处理每周不少于一次，并记录完整。</w:t>
            </w:r>
          </w:p>
        </w:tc>
        <w:tc>
          <w:tcPr>
            <w:tcW w:w="3685" w:type="dxa"/>
            <w:vMerge w:val="continue"/>
            <w:noWrap w:val="0"/>
            <w:vAlign w:val="center"/>
          </w:tcPr>
          <w:p w14:paraId="13BECA8B">
            <w:pPr>
              <w:shd w:val="clear" w:color="auto" w:fill="auto"/>
              <w:jc w:val="left"/>
              <w:rPr>
                <w:rFonts w:hint="eastAsia" w:ascii="宋体" w:hAnsi="宋体" w:eastAsia="宋体" w:cs="宋体"/>
                <w:color w:val="auto"/>
                <w:szCs w:val="21"/>
                <w:highlight w:val="none"/>
              </w:rPr>
            </w:pPr>
          </w:p>
        </w:tc>
        <w:tc>
          <w:tcPr>
            <w:tcW w:w="2694" w:type="dxa"/>
            <w:noWrap w:val="0"/>
            <w:vAlign w:val="top"/>
          </w:tcPr>
          <w:p w14:paraId="14D5720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218663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7BE1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 w:type="dxa"/>
            <w:vMerge w:val="continue"/>
            <w:noWrap w:val="0"/>
            <w:vAlign w:val="top"/>
          </w:tcPr>
          <w:p w14:paraId="7B9408C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67574862">
            <w:pPr>
              <w:shd w:val="clear" w:color="auto" w:fill="auto"/>
              <w:spacing w:line="240" w:lineRule="atLeast"/>
              <w:jc w:val="center"/>
              <w:rPr>
                <w:rFonts w:hint="eastAsia" w:ascii="宋体" w:hAnsi="宋体" w:eastAsia="宋体" w:cs="宋体"/>
                <w:bCs/>
                <w:color w:val="auto"/>
                <w:szCs w:val="21"/>
                <w:highlight w:val="none"/>
              </w:rPr>
            </w:pPr>
          </w:p>
        </w:tc>
        <w:tc>
          <w:tcPr>
            <w:tcW w:w="5103" w:type="dxa"/>
            <w:noWrap w:val="0"/>
            <w:vAlign w:val="center"/>
          </w:tcPr>
          <w:p w14:paraId="34B8B3B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6、草坪、绿化带内无杂物、包装袋、饮料瓶等影响环境卫生和停车区形象的废弃物。</w:t>
            </w:r>
          </w:p>
        </w:tc>
        <w:tc>
          <w:tcPr>
            <w:tcW w:w="3685" w:type="dxa"/>
            <w:vMerge w:val="continue"/>
            <w:noWrap w:val="0"/>
            <w:vAlign w:val="center"/>
          </w:tcPr>
          <w:p w14:paraId="4B51D749">
            <w:pPr>
              <w:shd w:val="clear" w:color="auto" w:fill="auto"/>
              <w:jc w:val="left"/>
              <w:rPr>
                <w:rFonts w:hint="eastAsia" w:ascii="宋体" w:hAnsi="宋体" w:eastAsia="宋体" w:cs="宋体"/>
                <w:color w:val="auto"/>
                <w:szCs w:val="21"/>
                <w:highlight w:val="none"/>
              </w:rPr>
            </w:pPr>
          </w:p>
        </w:tc>
        <w:tc>
          <w:tcPr>
            <w:tcW w:w="2694" w:type="dxa"/>
            <w:noWrap w:val="0"/>
            <w:vAlign w:val="top"/>
          </w:tcPr>
          <w:p w14:paraId="20F3BF3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49FCA30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1487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51" w:type="dxa"/>
            <w:vMerge w:val="continue"/>
            <w:noWrap w:val="0"/>
            <w:vAlign w:val="top"/>
          </w:tcPr>
          <w:p w14:paraId="3696962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758FC43E">
            <w:pPr>
              <w:shd w:val="clear" w:color="auto" w:fill="auto"/>
              <w:spacing w:line="240" w:lineRule="atLeast"/>
              <w:jc w:val="center"/>
              <w:rPr>
                <w:rFonts w:hint="eastAsia" w:ascii="宋体" w:hAnsi="宋体" w:eastAsia="宋体" w:cs="宋体"/>
                <w:color w:val="auto"/>
                <w:highlight w:val="none"/>
              </w:rPr>
            </w:pPr>
          </w:p>
        </w:tc>
        <w:tc>
          <w:tcPr>
            <w:tcW w:w="5103" w:type="dxa"/>
            <w:noWrap w:val="0"/>
            <w:vAlign w:val="center"/>
          </w:tcPr>
          <w:p w14:paraId="63B2CF2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7、保洁工具及时清洗干净摆放到指定位置。</w:t>
            </w:r>
          </w:p>
        </w:tc>
        <w:tc>
          <w:tcPr>
            <w:tcW w:w="3685" w:type="dxa"/>
            <w:vMerge w:val="continue"/>
            <w:noWrap w:val="0"/>
            <w:vAlign w:val="center"/>
          </w:tcPr>
          <w:p w14:paraId="23BB6462">
            <w:pPr>
              <w:shd w:val="clear" w:color="auto" w:fill="auto"/>
              <w:jc w:val="left"/>
              <w:rPr>
                <w:rFonts w:hint="eastAsia" w:ascii="宋体" w:hAnsi="宋体" w:eastAsia="宋体" w:cs="宋体"/>
                <w:color w:val="auto"/>
                <w:szCs w:val="21"/>
                <w:highlight w:val="none"/>
              </w:rPr>
            </w:pPr>
          </w:p>
        </w:tc>
        <w:tc>
          <w:tcPr>
            <w:tcW w:w="2694" w:type="dxa"/>
            <w:noWrap w:val="0"/>
            <w:vAlign w:val="top"/>
          </w:tcPr>
          <w:p w14:paraId="7502BC8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72B9072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3185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vMerge w:val="continue"/>
            <w:noWrap w:val="0"/>
            <w:vAlign w:val="top"/>
          </w:tcPr>
          <w:p w14:paraId="49CD790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4B202D4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2F1D45C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8、低值易耗品无明显浪费现象。</w:t>
            </w:r>
          </w:p>
        </w:tc>
        <w:tc>
          <w:tcPr>
            <w:tcW w:w="3685" w:type="dxa"/>
            <w:vMerge w:val="continue"/>
            <w:noWrap w:val="0"/>
            <w:vAlign w:val="center"/>
          </w:tcPr>
          <w:p w14:paraId="3CFFA762">
            <w:pPr>
              <w:shd w:val="clear" w:color="auto" w:fill="auto"/>
              <w:jc w:val="left"/>
              <w:rPr>
                <w:rFonts w:hint="eastAsia" w:ascii="宋体" w:hAnsi="宋体" w:eastAsia="宋体" w:cs="宋体"/>
                <w:color w:val="auto"/>
                <w:szCs w:val="21"/>
                <w:highlight w:val="none"/>
              </w:rPr>
            </w:pPr>
          </w:p>
        </w:tc>
        <w:tc>
          <w:tcPr>
            <w:tcW w:w="2694" w:type="dxa"/>
            <w:noWrap w:val="0"/>
            <w:vAlign w:val="top"/>
          </w:tcPr>
          <w:p w14:paraId="0D7ED92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745B43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712B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51" w:type="dxa"/>
            <w:vMerge w:val="continue"/>
            <w:noWrap w:val="0"/>
            <w:vAlign w:val="top"/>
          </w:tcPr>
          <w:p w14:paraId="1A772C3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6A7C2F3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572A3BA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9、公厕和卫生间地面无积水、无污物；便池、小便斗、小便槽保持干净无污迹、无臭味。</w:t>
            </w:r>
          </w:p>
        </w:tc>
        <w:tc>
          <w:tcPr>
            <w:tcW w:w="3685" w:type="dxa"/>
            <w:vMerge w:val="continue"/>
            <w:noWrap w:val="0"/>
            <w:vAlign w:val="center"/>
          </w:tcPr>
          <w:p w14:paraId="269BE07B">
            <w:pPr>
              <w:shd w:val="clear" w:color="auto" w:fill="auto"/>
              <w:jc w:val="left"/>
              <w:rPr>
                <w:rFonts w:hint="eastAsia" w:ascii="宋体" w:hAnsi="宋体" w:eastAsia="宋体" w:cs="宋体"/>
                <w:color w:val="auto"/>
                <w:szCs w:val="21"/>
                <w:highlight w:val="none"/>
              </w:rPr>
            </w:pPr>
          </w:p>
        </w:tc>
        <w:tc>
          <w:tcPr>
            <w:tcW w:w="2694" w:type="dxa"/>
            <w:noWrap w:val="0"/>
            <w:vAlign w:val="top"/>
          </w:tcPr>
          <w:p w14:paraId="1CFC4AA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148CC5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3D92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51" w:type="dxa"/>
            <w:vMerge w:val="continue"/>
            <w:noWrap w:val="0"/>
            <w:vAlign w:val="top"/>
          </w:tcPr>
          <w:p w14:paraId="46308D3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1DCAB4A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60E2A7D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10、公厕和卫生间保持空气流通，无蜘蛛网，墙面、顶棚、玻璃无灰尘、水垢，镜面保持无污迹。</w:t>
            </w:r>
          </w:p>
        </w:tc>
        <w:tc>
          <w:tcPr>
            <w:tcW w:w="3685" w:type="dxa"/>
            <w:vMerge w:val="continue"/>
            <w:noWrap w:val="0"/>
            <w:vAlign w:val="center"/>
          </w:tcPr>
          <w:p w14:paraId="6250C03D">
            <w:pPr>
              <w:shd w:val="clear" w:color="auto" w:fill="auto"/>
              <w:jc w:val="left"/>
              <w:rPr>
                <w:rFonts w:hint="eastAsia" w:ascii="宋体" w:hAnsi="宋体" w:eastAsia="宋体" w:cs="宋体"/>
                <w:color w:val="auto"/>
                <w:szCs w:val="21"/>
                <w:highlight w:val="none"/>
              </w:rPr>
            </w:pPr>
          </w:p>
        </w:tc>
        <w:tc>
          <w:tcPr>
            <w:tcW w:w="2694" w:type="dxa"/>
            <w:noWrap w:val="0"/>
            <w:vAlign w:val="top"/>
          </w:tcPr>
          <w:p w14:paraId="790D48F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2CF5212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bl>
    <w:p w14:paraId="4C250927">
      <w:pPr>
        <w:pStyle w:val="12"/>
        <w:shd w:val="clear" w:color="auto" w:fill="auto"/>
        <w:spacing w:before="162" w:after="162"/>
        <w:rPr>
          <w:rFonts w:hint="eastAsia" w:ascii="宋体" w:hAnsi="宋体" w:eastAsia="宋体" w:cs="宋体"/>
          <w:color w:val="auto"/>
          <w:highlight w:val="none"/>
        </w:rPr>
      </w:pPr>
    </w:p>
    <w:p w14:paraId="0892E131">
      <w:pPr>
        <w:pStyle w:val="12"/>
        <w:shd w:val="clear" w:color="auto" w:fill="auto"/>
        <w:spacing w:before="162" w:after="162"/>
        <w:rPr>
          <w:rFonts w:hint="eastAsia" w:ascii="宋体" w:hAnsi="宋体" w:eastAsia="宋体" w:cs="宋体"/>
          <w:color w:val="auto"/>
          <w:highlight w:val="none"/>
        </w:rPr>
      </w:pPr>
    </w:p>
    <w:p w14:paraId="4FC6DE4D">
      <w:pPr>
        <w:pStyle w:val="12"/>
        <w:shd w:val="clear" w:color="auto" w:fill="auto"/>
        <w:spacing w:before="162" w:after="162"/>
        <w:rPr>
          <w:rFonts w:hint="eastAsia" w:ascii="宋体" w:hAnsi="宋体" w:eastAsia="宋体" w:cs="宋体"/>
          <w:color w:val="auto"/>
          <w:highlight w:val="none"/>
        </w:rPr>
      </w:pPr>
    </w:p>
    <w:p w14:paraId="505E0951">
      <w:pPr>
        <w:pStyle w:val="12"/>
        <w:shd w:val="clear" w:color="auto" w:fill="auto"/>
        <w:spacing w:before="162" w:after="162"/>
        <w:rPr>
          <w:rFonts w:hint="eastAsia" w:ascii="宋体" w:hAnsi="宋体" w:eastAsia="宋体" w:cs="宋体"/>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5103"/>
        <w:gridCol w:w="3685"/>
        <w:gridCol w:w="2694"/>
        <w:gridCol w:w="993"/>
      </w:tblGrid>
      <w:tr w14:paraId="6028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44" w:type="dxa"/>
            <w:gridSpan w:val="2"/>
            <w:noWrap w:val="0"/>
            <w:vAlign w:val="center"/>
          </w:tcPr>
          <w:p w14:paraId="3A2B648A">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5103" w:type="dxa"/>
            <w:noWrap w:val="0"/>
            <w:vAlign w:val="center"/>
          </w:tcPr>
          <w:p w14:paraId="2CF1AF17">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考核标准</w:t>
            </w:r>
          </w:p>
        </w:tc>
        <w:tc>
          <w:tcPr>
            <w:tcW w:w="3685" w:type="dxa"/>
            <w:noWrap w:val="0"/>
            <w:vAlign w:val="center"/>
          </w:tcPr>
          <w:p w14:paraId="18B5CAD4">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考核办法</w:t>
            </w:r>
          </w:p>
        </w:tc>
        <w:tc>
          <w:tcPr>
            <w:tcW w:w="2694" w:type="dxa"/>
            <w:noWrap w:val="0"/>
            <w:vAlign w:val="top"/>
          </w:tcPr>
          <w:p w14:paraId="6ACAF4E5">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扣分事项</w:t>
            </w:r>
          </w:p>
        </w:tc>
        <w:tc>
          <w:tcPr>
            <w:tcW w:w="993" w:type="dxa"/>
            <w:noWrap w:val="0"/>
            <w:vAlign w:val="top"/>
          </w:tcPr>
          <w:p w14:paraId="015E7527">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得分</w:t>
            </w:r>
          </w:p>
        </w:tc>
      </w:tr>
      <w:tr w14:paraId="474A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0" w:type="dxa"/>
            <w:vMerge w:val="restart"/>
            <w:noWrap w:val="0"/>
            <w:vAlign w:val="center"/>
          </w:tcPr>
          <w:p w14:paraId="3AC9D42B">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岗位</w:t>
            </w:r>
          </w:p>
          <w:p w14:paraId="6E0217DF">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细则</w:t>
            </w:r>
          </w:p>
          <w:p w14:paraId="431C2D19">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color w:val="auto"/>
                <w:highlight w:val="none"/>
              </w:rPr>
            </w:pPr>
            <w:r>
              <w:rPr>
                <w:rFonts w:hint="eastAsia" w:ascii="宋体" w:hAnsi="宋体" w:eastAsia="宋体" w:cs="宋体"/>
                <w:bCs/>
                <w:color w:val="auto"/>
                <w:szCs w:val="21"/>
                <w:highlight w:val="none"/>
              </w:rPr>
              <w:t>（55分</w:t>
            </w:r>
          </w:p>
        </w:tc>
        <w:tc>
          <w:tcPr>
            <w:tcW w:w="1134" w:type="dxa"/>
            <w:vMerge w:val="restart"/>
            <w:noWrap w:val="0"/>
            <w:vAlign w:val="center"/>
          </w:tcPr>
          <w:p w14:paraId="16965654">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保洁</w:t>
            </w:r>
          </w:p>
          <w:p w14:paraId="28B41C21">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岗位</w:t>
            </w:r>
          </w:p>
          <w:p w14:paraId="22F0DE80">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考核</w:t>
            </w:r>
          </w:p>
          <w:p w14:paraId="6BEE9621">
            <w:pPr>
              <w:shd w:val="clear" w:color="auto" w:fill="auto"/>
              <w:spacing w:line="240" w:lineRule="atLeast"/>
              <w:jc w:val="center"/>
              <w:rPr>
                <w:rFonts w:hint="eastAsia" w:ascii="宋体" w:hAnsi="宋体" w:eastAsia="宋体" w:cs="宋体"/>
                <w:color w:val="auto"/>
                <w:sz w:val="18"/>
                <w:szCs w:val="18"/>
                <w:highlight w:val="none"/>
              </w:rPr>
            </w:pPr>
            <w:r>
              <w:rPr>
                <w:rFonts w:hint="eastAsia" w:ascii="宋体" w:hAnsi="宋体" w:eastAsia="宋体" w:cs="宋体"/>
                <w:color w:val="auto"/>
                <w:kern w:val="0"/>
                <w:szCs w:val="21"/>
                <w:highlight w:val="none"/>
              </w:rPr>
              <w:t>细则</w:t>
            </w:r>
          </w:p>
          <w:p w14:paraId="4C020327">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p>
          <w:p w14:paraId="72BEF128">
            <w:pPr>
              <w:shd w:val="clear" w:color="auto" w:fill="auto"/>
              <w:spacing w:line="24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（20分）</w:t>
            </w:r>
          </w:p>
        </w:tc>
        <w:tc>
          <w:tcPr>
            <w:tcW w:w="5103" w:type="dxa"/>
            <w:noWrap w:val="0"/>
            <w:vAlign w:val="center"/>
          </w:tcPr>
          <w:p w14:paraId="0FA2602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11、公厕设备损坏及时报修，放置明示标志牌。做好公厕、卫生间内外安全防滑工作，正确安放防滑垫、提示牌等防滑设施，提醒顾客注意。</w:t>
            </w:r>
          </w:p>
        </w:tc>
        <w:tc>
          <w:tcPr>
            <w:tcW w:w="3685" w:type="dxa"/>
            <w:vMerge w:val="restart"/>
            <w:noWrap w:val="0"/>
            <w:vAlign w:val="center"/>
          </w:tcPr>
          <w:p w14:paraId="65385444">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违反一条每次扣2分。</w:t>
            </w:r>
          </w:p>
        </w:tc>
        <w:tc>
          <w:tcPr>
            <w:tcW w:w="2694" w:type="dxa"/>
            <w:noWrap w:val="0"/>
            <w:vAlign w:val="top"/>
          </w:tcPr>
          <w:p w14:paraId="3777762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CBF0C7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24B4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10" w:type="dxa"/>
            <w:vMerge w:val="continue"/>
            <w:noWrap w:val="0"/>
            <w:vAlign w:val="top"/>
          </w:tcPr>
          <w:p w14:paraId="33E6191E">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4722F347">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2626DD2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12、公厕和卫生间及时添加卫生纸，纸篓按保洁标准及时更换垃圾袋。</w:t>
            </w:r>
          </w:p>
        </w:tc>
        <w:tc>
          <w:tcPr>
            <w:tcW w:w="3685" w:type="dxa"/>
            <w:vMerge w:val="continue"/>
            <w:noWrap w:val="0"/>
            <w:vAlign w:val="center"/>
          </w:tcPr>
          <w:p w14:paraId="77FD7532">
            <w:pPr>
              <w:shd w:val="clear" w:color="auto" w:fill="auto"/>
              <w:jc w:val="left"/>
              <w:rPr>
                <w:rFonts w:hint="eastAsia" w:ascii="宋体" w:hAnsi="宋体" w:eastAsia="宋体" w:cs="宋体"/>
                <w:color w:val="auto"/>
                <w:szCs w:val="21"/>
                <w:highlight w:val="none"/>
              </w:rPr>
            </w:pPr>
          </w:p>
        </w:tc>
        <w:tc>
          <w:tcPr>
            <w:tcW w:w="2694" w:type="dxa"/>
            <w:noWrap w:val="0"/>
            <w:vAlign w:val="top"/>
          </w:tcPr>
          <w:p w14:paraId="7DDBE9F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2088605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62A5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0" w:type="dxa"/>
            <w:vMerge w:val="continue"/>
            <w:noWrap w:val="0"/>
            <w:vAlign w:val="top"/>
          </w:tcPr>
          <w:p w14:paraId="162FDEC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5D8E86B2">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4F01E73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13、公厕和卫生间台盆、窗台、玻璃、墙面、隔断板、地面墙角、门背后、面盆下等随脏随洗，保持干净无水垢、无污迹</w:t>
            </w:r>
          </w:p>
        </w:tc>
        <w:tc>
          <w:tcPr>
            <w:tcW w:w="3685" w:type="dxa"/>
            <w:vMerge w:val="continue"/>
            <w:noWrap w:val="0"/>
            <w:vAlign w:val="center"/>
          </w:tcPr>
          <w:p w14:paraId="47EE6DB1">
            <w:pPr>
              <w:shd w:val="clear" w:color="auto" w:fill="auto"/>
              <w:jc w:val="left"/>
              <w:rPr>
                <w:rFonts w:hint="eastAsia" w:ascii="宋体" w:hAnsi="宋体" w:eastAsia="宋体" w:cs="宋体"/>
                <w:color w:val="auto"/>
                <w:szCs w:val="21"/>
                <w:highlight w:val="none"/>
              </w:rPr>
            </w:pPr>
          </w:p>
        </w:tc>
        <w:tc>
          <w:tcPr>
            <w:tcW w:w="2694" w:type="dxa"/>
            <w:noWrap w:val="0"/>
            <w:vAlign w:val="top"/>
          </w:tcPr>
          <w:p w14:paraId="751833D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453444D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69E8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0" w:type="dxa"/>
            <w:vMerge w:val="continue"/>
            <w:noWrap w:val="0"/>
            <w:vAlign w:val="top"/>
          </w:tcPr>
          <w:p w14:paraId="1D4F957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center"/>
          </w:tcPr>
          <w:p w14:paraId="73EC80D8">
            <w:pPr>
              <w:shd w:val="clear" w:color="auto" w:fill="auto"/>
              <w:spacing w:line="240" w:lineRule="atLeast"/>
              <w:jc w:val="center"/>
              <w:rPr>
                <w:rFonts w:hint="eastAsia" w:ascii="宋体" w:hAnsi="宋体" w:eastAsia="宋体" w:cs="宋体"/>
                <w:color w:val="auto"/>
                <w:sz w:val="18"/>
                <w:szCs w:val="18"/>
                <w:highlight w:val="none"/>
              </w:rPr>
            </w:pPr>
          </w:p>
        </w:tc>
        <w:tc>
          <w:tcPr>
            <w:tcW w:w="5103" w:type="dxa"/>
            <w:noWrap w:val="0"/>
            <w:vAlign w:val="center"/>
          </w:tcPr>
          <w:p w14:paraId="3E0B205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14、广场卫生符合要求：场地每百平方米烟蒂不超过5个，杂物不多于1个，车辆洒漏垃圾5分钟内及时清理干净。卫生责任区域内工作台面干净、整洁、地面（含台阶、沟、花台等）干净、整洁。</w:t>
            </w:r>
          </w:p>
        </w:tc>
        <w:tc>
          <w:tcPr>
            <w:tcW w:w="3685" w:type="dxa"/>
            <w:vMerge w:val="continue"/>
            <w:noWrap w:val="0"/>
            <w:vAlign w:val="center"/>
          </w:tcPr>
          <w:p w14:paraId="3012C660">
            <w:pPr>
              <w:shd w:val="clear" w:color="auto" w:fill="auto"/>
              <w:jc w:val="left"/>
              <w:rPr>
                <w:rFonts w:hint="eastAsia" w:ascii="宋体" w:hAnsi="宋体" w:eastAsia="宋体" w:cs="宋体"/>
                <w:color w:val="auto"/>
                <w:szCs w:val="21"/>
                <w:highlight w:val="none"/>
              </w:rPr>
            </w:pPr>
          </w:p>
        </w:tc>
        <w:tc>
          <w:tcPr>
            <w:tcW w:w="2694" w:type="dxa"/>
            <w:noWrap w:val="0"/>
            <w:vAlign w:val="top"/>
          </w:tcPr>
          <w:p w14:paraId="2EABC75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4F50B94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146C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0" w:type="dxa"/>
            <w:vMerge w:val="continue"/>
            <w:noWrap w:val="0"/>
            <w:vAlign w:val="top"/>
          </w:tcPr>
          <w:p w14:paraId="50BCE28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16F0CAD3">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34AECEA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15、按要求完成停车区外场的消毒灭害工作，并做好记录。</w:t>
            </w:r>
          </w:p>
        </w:tc>
        <w:tc>
          <w:tcPr>
            <w:tcW w:w="3685" w:type="dxa"/>
            <w:vMerge w:val="continue"/>
            <w:noWrap w:val="0"/>
            <w:vAlign w:val="center"/>
          </w:tcPr>
          <w:p w14:paraId="2387CAAB">
            <w:pPr>
              <w:shd w:val="clear" w:color="auto" w:fill="auto"/>
              <w:jc w:val="left"/>
              <w:rPr>
                <w:rFonts w:hint="eastAsia" w:ascii="宋体" w:hAnsi="宋体" w:eastAsia="宋体" w:cs="宋体"/>
                <w:color w:val="auto"/>
                <w:szCs w:val="21"/>
                <w:highlight w:val="none"/>
              </w:rPr>
            </w:pPr>
          </w:p>
        </w:tc>
        <w:tc>
          <w:tcPr>
            <w:tcW w:w="2694" w:type="dxa"/>
            <w:noWrap w:val="0"/>
            <w:vAlign w:val="top"/>
          </w:tcPr>
          <w:p w14:paraId="5586C5C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3E036D3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2D38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10" w:type="dxa"/>
            <w:vMerge w:val="continue"/>
            <w:noWrap w:val="0"/>
            <w:vAlign w:val="top"/>
          </w:tcPr>
          <w:p w14:paraId="68FA8C8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restart"/>
            <w:noWrap w:val="0"/>
            <w:vAlign w:val="center"/>
          </w:tcPr>
          <w:p w14:paraId="6FCE209E">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水电工</w:t>
            </w:r>
          </w:p>
          <w:p w14:paraId="7C61450D">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岗位</w:t>
            </w:r>
          </w:p>
          <w:p w14:paraId="5EE060A9">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考核</w:t>
            </w:r>
          </w:p>
          <w:p w14:paraId="0E470147">
            <w:pPr>
              <w:shd w:val="clear" w:color="auto" w:fill="auto"/>
              <w:tabs>
                <w:tab w:val="left" w:pos="540"/>
                <w:tab w:val="left" w:pos="720"/>
              </w:tabs>
              <w:adjustRightInd w:val="0"/>
              <w:snapToGrid w:val="0"/>
              <w:spacing w:line="240" w:lineRule="atLeas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细则</w:t>
            </w:r>
          </w:p>
          <w:p w14:paraId="411204E0">
            <w:pPr>
              <w:shd w:val="clear" w:color="auto" w:fill="auto"/>
              <w:spacing w:line="240" w:lineRule="atLeas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（15分</w:t>
            </w:r>
          </w:p>
        </w:tc>
        <w:tc>
          <w:tcPr>
            <w:tcW w:w="5103" w:type="dxa"/>
            <w:noWrap w:val="0"/>
            <w:vAlign w:val="center"/>
          </w:tcPr>
          <w:p w14:paraId="1577852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每天对停车区用电、用水设备运行情况进行巡视检查，做好记录并登记造册。</w:t>
            </w:r>
          </w:p>
        </w:tc>
        <w:tc>
          <w:tcPr>
            <w:tcW w:w="3685" w:type="dxa"/>
            <w:vMerge w:val="restart"/>
            <w:noWrap w:val="0"/>
            <w:vAlign w:val="center"/>
          </w:tcPr>
          <w:p w14:paraId="0758CC62">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违反一条每次扣2分。</w:t>
            </w:r>
          </w:p>
        </w:tc>
        <w:tc>
          <w:tcPr>
            <w:tcW w:w="2694" w:type="dxa"/>
            <w:noWrap w:val="0"/>
            <w:vAlign w:val="top"/>
          </w:tcPr>
          <w:p w14:paraId="619A5E4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2348EAC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01A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0" w:type="dxa"/>
            <w:vMerge w:val="continue"/>
            <w:noWrap w:val="0"/>
            <w:vAlign w:val="top"/>
          </w:tcPr>
          <w:p w14:paraId="1425E18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5C71FAC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043D1C1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2、按规定对高压柜、变压器、低压开关、配电箱进行检修、绝缘测试。</w:t>
            </w:r>
          </w:p>
        </w:tc>
        <w:tc>
          <w:tcPr>
            <w:tcW w:w="3685" w:type="dxa"/>
            <w:vMerge w:val="continue"/>
            <w:noWrap w:val="0"/>
            <w:vAlign w:val="center"/>
          </w:tcPr>
          <w:p w14:paraId="7D640928">
            <w:pPr>
              <w:shd w:val="clear" w:color="auto" w:fill="auto"/>
              <w:jc w:val="left"/>
              <w:rPr>
                <w:rFonts w:hint="eastAsia" w:ascii="宋体" w:hAnsi="宋体" w:eastAsia="宋体" w:cs="宋体"/>
                <w:color w:val="auto"/>
                <w:szCs w:val="21"/>
                <w:highlight w:val="none"/>
              </w:rPr>
            </w:pPr>
          </w:p>
        </w:tc>
        <w:tc>
          <w:tcPr>
            <w:tcW w:w="2694" w:type="dxa"/>
            <w:noWrap w:val="0"/>
            <w:vAlign w:val="top"/>
          </w:tcPr>
          <w:p w14:paraId="13AC4C0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3DEB3575">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1DA0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Merge w:val="continue"/>
            <w:noWrap w:val="0"/>
            <w:vAlign w:val="top"/>
          </w:tcPr>
          <w:p w14:paraId="7CC7CC9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219A30A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361486B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3、确保停车区设施设备的正常使用。</w:t>
            </w:r>
          </w:p>
        </w:tc>
        <w:tc>
          <w:tcPr>
            <w:tcW w:w="3685" w:type="dxa"/>
            <w:vMerge w:val="continue"/>
            <w:noWrap w:val="0"/>
            <w:vAlign w:val="center"/>
          </w:tcPr>
          <w:p w14:paraId="2271CF62">
            <w:pPr>
              <w:shd w:val="clear" w:color="auto" w:fill="auto"/>
              <w:jc w:val="left"/>
              <w:rPr>
                <w:rFonts w:hint="eastAsia" w:ascii="宋体" w:hAnsi="宋体" w:eastAsia="宋体" w:cs="宋体"/>
                <w:color w:val="auto"/>
                <w:szCs w:val="21"/>
                <w:highlight w:val="none"/>
              </w:rPr>
            </w:pPr>
          </w:p>
        </w:tc>
        <w:tc>
          <w:tcPr>
            <w:tcW w:w="2694" w:type="dxa"/>
            <w:noWrap w:val="0"/>
            <w:vAlign w:val="top"/>
          </w:tcPr>
          <w:p w14:paraId="3D9EE26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03669C6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731A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Merge w:val="continue"/>
            <w:noWrap w:val="0"/>
            <w:vAlign w:val="top"/>
          </w:tcPr>
          <w:p w14:paraId="17AB31F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44AFA6D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367932C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4、协调好与其他部门的关系，</w:t>
            </w:r>
            <w:r>
              <w:rPr>
                <w:rFonts w:hint="eastAsia" w:ascii="宋体" w:hAnsi="宋体" w:eastAsia="宋体" w:cs="宋体"/>
                <w:color w:val="auto"/>
                <w:szCs w:val="21"/>
                <w:highlight w:val="none"/>
                <w:lang w:val="zh-CN"/>
              </w:rPr>
              <w:t>及时维修各部门报来的电器故障。</w:t>
            </w:r>
          </w:p>
        </w:tc>
        <w:tc>
          <w:tcPr>
            <w:tcW w:w="3685" w:type="dxa"/>
            <w:vMerge w:val="continue"/>
            <w:noWrap w:val="0"/>
            <w:vAlign w:val="center"/>
          </w:tcPr>
          <w:p w14:paraId="2091C4F4">
            <w:pPr>
              <w:shd w:val="clear" w:color="auto" w:fill="auto"/>
              <w:jc w:val="left"/>
              <w:rPr>
                <w:rFonts w:hint="eastAsia" w:ascii="宋体" w:hAnsi="宋体" w:eastAsia="宋体" w:cs="宋体"/>
                <w:color w:val="auto"/>
                <w:szCs w:val="21"/>
                <w:highlight w:val="none"/>
              </w:rPr>
            </w:pPr>
          </w:p>
        </w:tc>
        <w:tc>
          <w:tcPr>
            <w:tcW w:w="2694" w:type="dxa"/>
            <w:noWrap w:val="0"/>
            <w:vAlign w:val="top"/>
          </w:tcPr>
          <w:p w14:paraId="0817A52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11121F5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bl>
    <w:p w14:paraId="6C906020">
      <w:pPr>
        <w:pStyle w:val="12"/>
        <w:shd w:val="clear" w:color="auto" w:fill="auto"/>
        <w:spacing w:before="162" w:after="162"/>
        <w:rPr>
          <w:rFonts w:hint="eastAsia" w:ascii="宋体" w:hAnsi="宋体" w:eastAsia="宋体" w:cs="宋体"/>
          <w:color w:val="auto"/>
          <w:highlight w:val="none"/>
        </w:rPr>
      </w:pPr>
    </w:p>
    <w:p w14:paraId="6BEE0F74">
      <w:pPr>
        <w:pStyle w:val="12"/>
        <w:shd w:val="clear" w:color="auto" w:fill="auto"/>
        <w:spacing w:before="162" w:after="162"/>
        <w:rPr>
          <w:rFonts w:hint="eastAsia" w:ascii="宋体" w:hAnsi="宋体" w:eastAsia="宋体" w:cs="宋体"/>
          <w:color w:val="auto"/>
          <w:highlight w:val="none"/>
        </w:rPr>
      </w:pPr>
    </w:p>
    <w:p w14:paraId="146C12F5">
      <w:pPr>
        <w:pStyle w:val="12"/>
        <w:shd w:val="clear" w:color="auto" w:fill="auto"/>
        <w:spacing w:before="162" w:after="162"/>
        <w:rPr>
          <w:rFonts w:hint="eastAsia" w:ascii="宋体" w:hAnsi="宋体" w:eastAsia="宋体" w:cs="宋体"/>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5103"/>
        <w:gridCol w:w="3685"/>
        <w:gridCol w:w="2694"/>
        <w:gridCol w:w="993"/>
      </w:tblGrid>
      <w:tr w14:paraId="53AE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44" w:type="dxa"/>
            <w:gridSpan w:val="2"/>
            <w:noWrap w:val="0"/>
            <w:vAlign w:val="center"/>
          </w:tcPr>
          <w:p w14:paraId="6BA1926A">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5103" w:type="dxa"/>
            <w:noWrap w:val="0"/>
            <w:vAlign w:val="center"/>
          </w:tcPr>
          <w:p w14:paraId="6E193375">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考核标准</w:t>
            </w:r>
          </w:p>
        </w:tc>
        <w:tc>
          <w:tcPr>
            <w:tcW w:w="3685" w:type="dxa"/>
            <w:noWrap w:val="0"/>
            <w:vAlign w:val="center"/>
          </w:tcPr>
          <w:p w14:paraId="136ECF2E">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考核办法</w:t>
            </w:r>
          </w:p>
        </w:tc>
        <w:tc>
          <w:tcPr>
            <w:tcW w:w="2694" w:type="dxa"/>
            <w:noWrap w:val="0"/>
            <w:vAlign w:val="top"/>
          </w:tcPr>
          <w:p w14:paraId="71CB2B0B">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扣（加）分事项</w:t>
            </w:r>
          </w:p>
        </w:tc>
        <w:tc>
          <w:tcPr>
            <w:tcW w:w="993" w:type="dxa"/>
            <w:noWrap w:val="0"/>
            <w:vAlign w:val="top"/>
          </w:tcPr>
          <w:p w14:paraId="5B41183C">
            <w:pPr>
              <w:shd w:val="clear" w:color="auto" w:fill="auto"/>
              <w:tabs>
                <w:tab w:val="left" w:pos="540"/>
                <w:tab w:val="left" w:pos="720"/>
              </w:tabs>
              <w:adjustRightInd w:val="0"/>
              <w:snapToGrid w:val="0"/>
              <w:spacing w:line="400" w:lineRule="exact"/>
              <w:ind w:left="410" w:hanging="410" w:hangingChars="17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得分</w:t>
            </w:r>
          </w:p>
        </w:tc>
      </w:tr>
      <w:tr w14:paraId="3E13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0" w:type="dxa"/>
            <w:vMerge w:val="restart"/>
            <w:noWrap w:val="0"/>
            <w:vAlign w:val="center"/>
          </w:tcPr>
          <w:p w14:paraId="2DDA673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岗位</w:t>
            </w:r>
          </w:p>
          <w:p w14:paraId="5050B38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细则</w:t>
            </w:r>
          </w:p>
          <w:p w14:paraId="4230E26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（55分</w:t>
            </w:r>
          </w:p>
        </w:tc>
        <w:tc>
          <w:tcPr>
            <w:tcW w:w="1134" w:type="dxa"/>
            <w:vMerge w:val="restart"/>
            <w:noWrap w:val="0"/>
            <w:vAlign w:val="center"/>
          </w:tcPr>
          <w:p w14:paraId="27114184">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水电工</w:t>
            </w:r>
          </w:p>
          <w:p w14:paraId="144A2BFB">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岗位</w:t>
            </w:r>
          </w:p>
          <w:p w14:paraId="65E1A2B3">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考核</w:t>
            </w:r>
          </w:p>
          <w:p w14:paraId="2ABA94E4">
            <w:pPr>
              <w:shd w:val="clear" w:color="auto" w:fill="auto"/>
              <w:spacing w:line="24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细则</w:t>
            </w:r>
          </w:p>
          <w:p w14:paraId="34985803">
            <w:pPr>
              <w:shd w:val="clear" w:color="auto" w:fill="auto"/>
              <w:spacing w:line="240" w:lineRule="atLeast"/>
              <w:jc w:val="left"/>
              <w:rPr>
                <w:rFonts w:hint="eastAsia" w:ascii="宋体" w:hAnsi="宋体" w:eastAsia="宋体" w:cs="宋体"/>
                <w:color w:val="auto"/>
                <w:sz w:val="18"/>
                <w:szCs w:val="18"/>
                <w:highlight w:val="none"/>
              </w:rPr>
            </w:pPr>
            <w:r>
              <w:rPr>
                <w:rFonts w:hint="eastAsia" w:ascii="宋体" w:hAnsi="宋体" w:eastAsia="宋体" w:cs="宋体"/>
                <w:color w:val="auto"/>
                <w:kern w:val="0"/>
                <w:szCs w:val="21"/>
                <w:highlight w:val="none"/>
              </w:rPr>
              <w:t>（10分</w:t>
            </w:r>
          </w:p>
        </w:tc>
        <w:tc>
          <w:tcPr>
            <w:tcW w:w="5103" w:type="dxa"/>
            <w:noWrap w:val="0"/>
            <w:vAlign w:val="center"/>
          </w:tcPr>
          <w:p w14:paraId="2EEE55F9">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5、保持电工间、配电房、发电机房、水泵房、污水处理设备的卫生清洁。</w:t>
            </w:r>
          </w:p>
        </w:tc>
        <w:tc>
          <w:tcPr>
            <w:tcW w:w="3685" w:type="dxa"/>
            <w:vMerge w:val="restart"/>
            <w:noWrap w:val="0"/>
            <w:vAlign w:val="center"/>
          </w:tcPr>
          <w:p w14:paraId="2241C944">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违反一条每次扣2分。</w:t>
            </w:r>
          </w:p>
        </w:tc>
        <w:tc>
          <w:tcPr>
            <w:tcW w:w="2694" w:type="dxa"/>
            <w:noWrap w:val="0"/>
            <w:vAlign w:val="top"/>
          </w:tcPr>
          <w:p w14:paraId="6CF148E3">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F05350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64D0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10" w:type="dxa"/>
            <w:vMerge w:val="continue"/>
            <w:noWrap w:val="0"/>
            <w:vAlign w:val="top"/>
          </w:tcPr>
          <w:p w14:paraId="6BA968A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7D8CC6C2">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3AF68279">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6、根据季节变化适时调整广场高杆灯的开、关时间。</w:t>
            </w:r>
          </w:p>
        </w:tc>
        <w:tc>
          <w:tcPr>
            <w:tcW w:w="3685" w:type="dxa"/>
            <w:vMerge w:val="continue"/>
            <w:noWrap w:val="0"/>
            <w:vAlign w:val="center"/>
          </w:tcPr>
          <w:p w14:paraId="50FFE98B">
            <w:pPr>
              <w:shd w:val="clear" w:color="auto" w:fill="auto"/>
              <w:jc w:val="left"/>
              <w:rPr>
                <w:rFonts w:hint="eastAsia" w:ascii="宋体" w:hAnsi="宋体" w:eastAsia="宋体" w:cs="宋体"/>
                <w:color w:val="auto"/>
                <w:szCs w:val="21"/>
                <w:highlight w:val="none"/>
              </w:rPr>
            </w:pPr>
          </w:p>
        </w:tc>
        <w:tc>
          <w:tcPr>
            <w:tcW w:w="2694" w:type="dxa"/>
            <w:noWrap w:val="0"/>
            <w:vAlign w:val="top"/>
          </w:tcPr>
          <w:p w14:paraId="1C88192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2F8266F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26CF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10" w:type="dxa"/>
            <w:vMerge w:val="continue"/>
            <w:noWrap w:val="0"/>
            <w:vAlign w:val="top"/>
          </w:tcPr>
          <w:p w14:paraId="3302C595">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3BADA94D">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552412EF">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7、每日进行水电总表的抄报和做好水电工日志。</w:t>
            </w:r>
          </w:p>
        </w:tc>
        <w:tc>
          <w:tcPr>
            <w:tcW w:w="3685" w:type="dxa"/>
            <w:vMerge w:val="continue"/>
            <w:noWrap w:val="0"/>
            <w:vAlign w:val="center"/>
          </w:tcPr>
          <w:p w14:paraId="74B3B21B">
            <w:pPr>
              <w:shd w:val="clear" w:color="auto" w:fill="auto"/>
              <w:jc w:val="left"/>
              <w:rPr>
                <w:rFonts w:hint="eastAsia" w:ascii="宋体" w:hAnsi="宋体" w:eastAsia="宋体" w:cs="宋体"/>
                <w:color w:val="auto"/>
                <w:szCs w:val="21"/>
                <w:highlight w:val="none"/>
              </w:rPr>
            </w:pPr>
          </w:p>
        </w:tc>
        <w:tc>
          <w:tcPr>
            <w:tcW w:w="2694" w:type="dxa"/>
            <w:noWrap w:val="0"/>
            <w:vAlign w:val="top"/>
          </w:tcPr>
          <w:p w14:paraId="0D0C302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7C5ED14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770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0" w:type="dxa"/>
            <w:vMerge w:val="continue"/>
            <w:noWrap w:val="0"/>
            <w:vAlign w:val="top"/>
          </w:tcPr>
          <w:p w14:paraId="5BC12C2E">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center"/>
          </w:tcPr>
          <w:p w14:paraId="73ECD3C2">
            <w:pPr>
              <w:shd w:val="clear" w:color="auto" w:fill="auto"/>
              <w:spacing w:line="240" w:lineRule="atLeast"/>
              <w:jc w:val="center"/>
              <w:rPr>
                <w:rFonts w:hint="eastAsia" w:ascii="宋体" w:hAnsi="宋体" w:eastAsia="宋体" w:cs="宋体"/>
                <w:color w:val="auto"/>
                <w:sz w:val="18"/>
                <w:szCs w:val="18"/>
                <w:highlight w:val="none"/>
              </w:rPr>
            </w:pPr>
          </w:p>
        </w:tc>
        <w:tc>
          <w:tcPr>
            <w:tcW w:w="5103" w:type="dxa"/>
            <w:noWrap w:val="0"/>
            <w:vAlign w:val="center"/>
          </w:tcPr>
          <w:p w14:paraId="33363637">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8、熟悉各设施设备性能，保证运行正常。</w:t>
            </w:r>
          </w:p>
        </w:tc>
        <w:tc>
          <w:tcPr>
            <w:tcW w:w="3685" w:type="dxa"/>
            <w:vMerge w:val="continue"/>
            <w:noWrap w:val="0"/>
            <w:vAlign w:val="center"/>
          </w:tcPr>
          <w:p w14:paraId="5A40C008">
            <w:pPr>
              <w:shd w:val="clear" w:color="auto" w:fill="auto"/>
              <w:jc w:val="left"/>
              <w:rPr>
                <w:rFonts w:hint="eastAsia" w:ascii="宋体" w:hAnsi="宋体" w:eastAsia="宋体" w:cs="宋体"/>
                <w:color w:val="auto"/>
                <w:szCs w:val="21"/>
                <w:highlight w:val="none"/>
              </w:rPr>
            </w:pPr>
          </w:p>
        </w:tc>
        <w:tc>
          <w:tcPr>
            <w:tcW w:w="2694" w:type="dxa"/>
            <w:noWrap w:val="0"/>
            <w:vAlign w:val="top"/>
          </w:tcPr>
          <w:p w14:paraId="74ECDE51">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44592A4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63E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0" w:type="dxa"/>
            <w:vMerge w:val="continue"/>
            <w:noWrap w:val="0"/>
            <w:vAlign w:val="top"/>
          </w:tcPr>
          <w:p w14:paraId="6217D20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61ABB13F">
            <w:pPr>
              <w:shd w:val="clear" w:color="auto" w:fill="auto"/>
              <w:tabs>
                <w:tab w:val="left" w:pos="540"/>
                <w:tab w:val="left" w:pos="720"/>
              </w:tabs>
              <w:adjustRightInd w:val="0"/>
              <w:snapToGrid w:val="0"/>
              <w:spacing w:line="240" w:lineRule="atLeast"/>
              <w:ind w:left="357" w:hanging="357" w:hangingChars="170"/>
              <w:rPr>
                <w:rFonts w:hint="eastAsia" w:ascii="宋体" w:hAnsi="宋体" w:eastAsia="宋体" w:cs="宋体"/>
                <w:bCs/>
                <w:color w:val="auto"/>
                <w:szCs w:val="21"/>
                <w:highlight w:val="none"/>
              </w:rPr>
            </w:pPr>
          </w:p>
        </w:tc>
        <w:tc>
          <w:tcPr>
            <w:tcW w:w="5103" w:type="dxa"/>
            <w:noWrap w:val="0"/>
            <w:vAlign w:val="center"/>
          </w:tcPr>
          <w:p w14:paraId="21F5CBE4">
            <w:pPr>
              <w:widowControl/>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kern w:val="0"/>
                <w:szCs w:val="21"/>
                <w:highlight w:val="none"/>
              </w:rPr>
              <w:t>及时按要求填写规定台帐，有填写人和审核人，内容须填写规范。</w:t>
            </w:r>
          </w:p>
        </w:tc>
        <w:tc>
          <w:tcPr>
            <w:tcW w:w="3685" w:type="dxa"/>
            <w:vMerge w:val="continue"/>
            <w:noWrap w:val="0"/>
            <w:vAlign w:val="center"/>
          </w:tcPr>
          <w:p w14:paraId="601FACFF">
            <w:pPr>
              <w:shd w:val="clear" w:color="auto" w:fill="auto"/>
              <w:jc w:val="left"/>
              <w:rPr>
                <w:rFonts w:hint="eastAsia" w:ascii="宋体" w:hAnsi="宋体" w:eastAsia="宋体" w:cs="宋体"/>
                <w:color w:val="auto"/>
                <w:szCs w:val="21"/>
                <w:highlight w:val="none"/>
              </w:rPr>
            </w:pPr>
          </w:p>
        </w:tc>
        <w:tc>
          <w:tcPr>
            <w:tcW w:w="2694" w:type="dxa"/>
            <w:noWrap w:val="0"/>
            <w:vAlign w:val="top"/>
          </w:tcPr>
          <w:p w14:paraId="1E58013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1D61FCD">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6BA3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Merge w:val="restart"/>
            <w:noWrap w:val="0"/>
            <w:vAlign w:val="center"/>
          </w:tcPr>
          <w:p w14:paraId="2A5D73EC">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w:t>
            </w:r>
          </w:p>
          <w:p w14:paraId="6D7EB335">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他</w:t>
            </w:r>
          </w:p>
          <w:p w14:paraId="4F3E869F">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考</w:t>
            </w:r>
          </w:p>
          <w:p w14:paraId="3DA1C7FB">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核</w:t>
            </w:r>
          </w:p>
        </w:tc>
        <w:tc>
          <w:tcPr>
            <w:tcW w:w="1134" w:type="dxa"/>
            <w:vMerge w:val="restart"/>
            <w:noWrap w:val="0"/>
            <w:vAlign w:val="top"/>
          </w:tcPr>
          <w:p w14:paraId="676CDFA3">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w:t>
            </w:r>
          </w:p>
          <w:p w14:paraId="35E438F5">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他</w:t>
            </w:r>
          </w:p>
          <w:p w14:paraId="315A187E">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处</w:t>
            </w:r>
          </w:p>
          <w:p w14:paraId="0DE38CD9">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罚</w:t>
            </w:r>
          </w:p>
        </w:tc>
        <w:tc>
          <w:tcPr>
            <w:tcW w:w="5103" w:type="dxa"/>
            <w:noWrap w:val="0"/>
            <w:vAlign w:val="center"/>
          </w:tcPr>
          <w:p w14:paraId="1D55B7F7">
            <w:pPr>
              <w:widowControl/>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由于工作不当被新闻媒体曝光。</w:t>
            </w:r>
          </w:p>
        </w:tc>
        <w:tc>
          <w:tcPr>
            <w:tcW w:w="3685" w:type="dxa"/>
            <w:vMerge w:val="restart"/>
            <w:noWrap w:val="0"/>
            <w:vAlign w:val="center"/>
          </w:tcPr>
          <w:p w14:paraId="41418AB7">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视情况给予当月考核0分处理或酌情给予2000-10000罚款</w:t>
            </w:r>
          </w:p>
        </w:tc>
        <w:tc>
          <w:tcPr>
            <w:tcW w:w="2694" w:type="dxa"/>
            <w:noWrap w:val="0"/>
            <w:vAlign w:val="top"/>
          </w:tcPr>
          <w:p w14:paraId="7687EC4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1EA85E5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00C7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Merge w:val="continue"/>
            <w:noWrap w:val="0"/>
            <w:vAlign w:val="top"/>
          </w:tcPr>
          <w:p w14:paraId="5F37F11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4A0E10D4">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p>
        </w:tc>
        <w:tc>
          <w:tcPr>
            <w:tcW w:w="5103" w:type="dxa"/>
            <w:noWrap w:val="0"/>
            <w:vAlign w:val="center"/>
          </w:tcPr>
          <w:p w14:paraId="2813AE59">
            <w:pPr>
              <w:widowControl/>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发生有责投诉事件</w:t>
            </w:r>
          </w:p>
        </w:tc>
        <w:tc>
          <w:tcPr>
            <w:tcW w:w="3685" w:type="dxa"/>
            <w:vMerge w:val="continue"/>
            <w:noWrap w:val="0"/>
            <w:vAlign w:val="center"/>
          </w:tcPr>
          <w:p w14:paraId="19BE5673">
            <w:pPr>
              <w:shd w:val="clear" w:color="auto" w:fill="auto"/>
              <w:jc w:val="left"/>
              <w:rPr>
                <w:rFonts w:hint="eastAsia" w:ascii="宋体" w:hAnsi="宋体" w:eastAsia="宋体" w:cs="宋体"/>
                <w:color w:val="auto"/>
                <w:szCs w:val="21"/>
                <w:highlight w:val="none"/>
              </w:rPr>
            </w:pPr>
          </w:p>
        </w:tc>
        <w:tc>
          <w:tcPr>
            <w:tcW w:w="2694" w:type="dxa"/>
            <w:noWrap w:val="0"/>
            <w:vAlign w:val="top"/>
          </w:tcPr>
          <w:p w14:paraId="72B1E23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2BDF839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7C0A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Merge w:val="continue"/>
            <w:noWrap w:val="0"/>
            <w:vAlign w:val="top"/>
          </w:tcPr>
          <w:p w14:paraId="2CDB108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16BC8B33">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p>
        </w:tc>
        <w:tc>
          <w:tcPr>
            <w:tcW w:w="5103" w:type="dxa"/>
            <w:noWrap w:val="0"/>
            <w:vAlign w:val="center"/>
          </w:tcPr>
          <w:p w14:paraId="0FE5D2D3">
            <w:pPr>
              <w:widowControl/>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因管理不当被行业主管理部门或集团公司通报批评。</w:t>
            </w:r>
          </w:p>
        </w:tc>
        <w:tc>
          <w:tcPr>
            <w:tcW w:w="3685" w:type="dxa"/>
            <w:vMerge w:val="continue"/>
            <w:noWrap w:val="0"/>
            <w:vAlign w:val="center"/>
          </w:tcPr>
          <w:p w14:paraId="73E5E6D9">
            <w:pPr>
              <w:shd w:val="clear" w:color="auto" w:fill="auto"/>
              <w:jc w:val="left"/>
              <w:rPr>
                <w:rFonts w:hint="eastAsia" w:ascii="宋体" w:hAnsi="宋体" w:eastAsia="宋体" w:cs="宋体"/>
                <w:color w:val="auto"/>
                <w:szCs w:val="21"/>
                <w:highlight w:val="none"/>
              </w:rPr>
            </w:pPr>
          </w:p>
        </w:tc>
        <w:tc>
          <w:tcPr>
            <w:tcW w:w="2694" w:type="dxa"/>
            <w:noWrap w:val="0"/>
            <w:vAlign w:val="top"/>
          </w:tcPr>
          <w:p w14:paraId="2957A794">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5B0FE15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4DDF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Merge w:val="continue"/>
            <w:noWrap w:val="0"/>
            <w:vAlign w:val="top"/>
          </w:tcPr>
          <w:p w14:paraId="4D3694FF">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2EB883A4">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p>
        </w:tc>
        <w:tc>
          <w:tcPr>
            <w:tcW w:w="5103" w:type="dxa"/>
            <w:noWrap w:val="0"/>
            <w:vAlign w:val="center"/>
          </w:tcPr>
          <w:p w14:paraId="261374BE">
            <w:pPr>
              <w:shd w:val="clear" w:color="auto" w:fil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对停车区交办的其他临时性工作完成较差。</w:t>
            </w:r>
          </w:p>
        </w:tc>
        <w:tc>
          <w:tcPr>
            <w:tcW w:w="3685" w:type="dxa"/>
            <w:vMerge w:val="continue"/>
            <w:noWrap w:val="0"/>
            <w:vAlign w:val="center"/>
          </w:tcPr>
          <w:p w14:paraId="4E3A11E9">
            <w:pPr>
              <w:shd w:val="clear" w:color="auto" w:fill="auto"/>
              <w:jc w:val="left"/>
              <w:rPr>
                <w:rFonts w:hint="eastAsia" w:ascii="宋体" w:hAnsi="宋体" w:eastAsia="宋体" w:cs="宋体"/>
                <w:color w:val="auto"/>
                <w:szCs w:val="21"/>
                <w:highlight w:val="none"/>
              </w:rPr>
            </w:pPr>
          </w:p>
        </w:tc>
        <w:tc>
          <w:tcPr>
            <w:tcW w:w="2694" w:type="dxa"/>
            <w:noWrap w:val="0"/>
            <w:vAlign w:val="top"/>
          </w:tcPr>
          <w:p w14:paraId="2C36F11E">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EFFAB8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092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Merge w:val="continue"/>
            <w:noWrap w:val="0"/>
            <w:vAlign w:val="top"/>
          </w:tcPr>
          <w:p w14:paraId="4418D628">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restart"/>
            <w:noWrap w:val="0"/>
            <w:vAlign w:val="top"/>
          </w:tcPr>
          <w:p w14:paraId="22B16604">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加</w:t>
            </w:r>
          </w:p>
          <w:p w14:paraId="2DDAAC6D">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分</w:t>
            </w:r>
          </w:p>
          <w:p w14:paraId="41CC283E">
            <w:pPr>
              <w:shd w:val="clear" w:color="auto" w:fill="auto"/>
              <w:tabs>
                <w:tab w:val="left" w:pos="540"/>
                <w:tab w:val="left" w:pos="720"/>
              </w:tabs>
              <w:adjustRightInd w:val="0"/>
              <w:snapToGrid w:val="0"/>
              <w:spacing w:line="400" w:lineRule="exact"/>
              <w:ind w:left="357" w:hanging="357" w:hangingChars="17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w:t>
            </w:r>
          </w:p>
        </w:tc>
        <w:tc>
          <w:tcPr>
            <w:tcW w:w="5103" w:type="dxa"/>
            <w:noWrap w:val="0"/>
            <w:vAlign w:val="center"/>
          </w:tcPr>
          <w:p w14:paraId="16457F85">
            <w:pPr>
              <w:shd w:val="clear" w:color="auto" w:fil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见义勇为、拾金不昧、好人好事被司乘人员或上级部门表扬和新闻媒体报道的。</w:t>
            </w:r>
          </w:p>
        </w:tc>
        <w:tc>
          <w:tcPr>
            <w:tcW w:w="3685" w:type="dxa"/>
            <w:noWrap w:val="0"/>
            <w:vAlign w:val="center"/>
          </w:tcPr>
          <w:p w14:paraId="68C362FE">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视情况给予2-20分加分</w:t>
            </w:r>
          </w:p>
        </w:tc>
        <w:tc>
          <w:tcPr>
            <w:tcW w:w="2694" w:type="dxa"/>
            <w:noWrap w:val="0"/>
            <w:vAlign w:val="top"/>
          </w:tcPr>
          <w:p w14:paraId="4320F90C">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20A6A2F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350F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Merge w:val="continue"/>
            <w:noWrap w:val="0"/>
            <w:vAlign w:val="top"/>
          </w:tcPr>
          <w:p w14:paraId="6E1FE74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0DB346B2">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12FF5676">
            <w:pPr>
              <w:shd w:val="clear" w:color="auto" w:fil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因管理优秀被上级部门表彰</w:t>
            </w:r>
          </w:p>
        </w:tc>
        <w:tc>
          <w:tcPr>
            <w:tcW w:w="3685" w:type="dxa"/>
            <w:noWrap w:val="0"/>
            <w:vAlign w:val="center"/>
          </w:tcPr>
          <w:p w14:paraId="2A5C65DD">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加2-15分</w:t>
            </w:r>
          </w:p>
        </w:tc>
        <w:tc>
          <w:tcPr>
            <w:tcW w:w="2694" w:type="dxa"/>
            <w:noWrap w:val="0"/>
            <w:vAlign w:val="top"/>
          </w:tcPr>
          <w:p w14:paraId="4078308A">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13637959">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r w14:paraId="5539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0" w:type="dxa"/>
            <w:vMerge w:val="continue"/>
            <w:noWrap w:val="0"/>
            <w:vAlign w:val="top"/>
          </w:tcPr>
          <w:p w14:paraId="53706B40">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1134" w:type="dxa"/>
            <w:vMerge w:val="continue"/>
            <w:noWrap w:val="0"/>
            <w:vAlign w:val="top"/>
          </w:tcPr>
          <w:p w14:paraId="67012B87">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5103" w:type="dxa"/>
            <w:noWrap w:val="0"/>
            <w:vAlign w:val="center"/>
          </w:tcPr>
          <w:p w14:paraId="69DE8A51">
            <w:pPr>
              <w:shd w:val="clear" w:color="auto" w:fil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物业项目被评为市级以上优秀称号</w:t>
            </w:r>
          </w:p>
        </w:tc>
        <w:tc>
          <w:tcPr>
            <w:tcW w:w="3685" w:type="dxa"/>
            <w:noWrap w:val="0"/>
            <w:vAlign w:val="center"/>
          </w:tcPr>
          <w:p w14:paraId="5521D400">
            <w:pPr>
              <w:shd w:val="clear" w:color="auto" w:fill="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加20分，给予奖励5000-20000元</w:t>
            </w:r>
          </w:p>
        </w:tc>
        <w:tc>
          <w:tcPr>
            <w:tcW w:w="2694" w:type="dxa"/>
            <w:noWrap w:val="0"/>
            <w:vAlign w:val="top"/>
          </w:tcPr>
          <w:p w14:paraId="34762C66">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c>
          <w:tcPr>
            <w:tcW w:w="993" w:type="dxa"/>
            <w:noWrap w:val="0"/>
            <w:vAlign w:val="top"/>
          </w:tcPr>
          <w:p w14:paraId="6946724B">
            <w:pPr>
              <w:shd w:val="clear" w:color="auto" w:fill="auto"/>
              <w:tabs>
                <w:tab w:val="left" w:pos="540"/>
                <w:tab w:val="left" w:pos="720"/>
              </w:tabs>
              <w:adjustRightInd w:val="0"/>
              <w:snapToGrid w:val="0"/>
              <w:spacing w:line="400" w:lineRule="exact"/>
              <w:ind w:left="357" w:hanging="357" w:hangingChars="170"/>
              <w:rPr>
                <w:rFonts w:hint="eastAsia" w:ascii="宋体" w:hAnsi="宋体" w:eastAsia="宋体" w:cs="宋体"/>
                <w:bCs/>
                <w:color w:val="auto"/>
                <w:szCs w:val="21"/>
                <w:highlight w:val="none"/>
              </w:rPr>
            </w:pPr>
          </w:p>
        </w:tc>
      </w:tr>
    </w:tbl>
    <w:p w14:paraId="7E06D249">
      <w:pPr>
        <w:pStyle w:val="12"/>
        <w:rPr>
          <w:rFonts w:hint="eastAsia" w:ascii="宋体" w:hAnsi="宋体" w:eastAsia="宋体" w:cs="宋体"/>
          <w:highlight w:val="none"/>
        </w:rPr>
        <w:sectPr>
          <w:pgSz w:w="16838" w:h="11906" w:orient="landscape"/>
          <w:pgMar w:top="1361" w:right="1191" w:bottom="1304" w:left="1191" w:header="680" w:footer="652" w:gutter="0"/>
          <w:cols w:space="0" w:num="1"/>
          <w:rtlGutter w:val="0"/>
          <w:docGrid w:type="lines" w:linePitch="318" w:charSpace="0"/>
        </w:sectPr>
      </w:pPr>
    </w:p>
    <w:p w14:paraId="680615D4">
      <w:pPr>
        <w:pStyle w:val="9"/>
        <w:ind w:firstLine="440"/>
        <w:jc w:val="center"/>
        <w:rPr>
          <w:rFonts w:hint="eastAsia" w:ascii="宋体" w:hAnsi="宋体" w:eastAsia="宋体" w:cs="宋体"/>
          <w:sz w:val="44"/>
          <w:szCs w:val="44"/>
          <w:highlight w:val="none"/>
        </w:rPr>
      </w:pPr>
    </w:p>
    <w:p w14:paraId="1D9D856C">
      <w:pPr>
        <w:pStyle w:val="9"/>
        <w:ind w:firstLine="440"/>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sz w:val="44"/>
          <w:szCs w:val="44"/>
          <w:highlight w:val="none"/>
        </w:rPr>
        <w:t xml:space="preserve"> 投标文件的编制格式</w:t>
      </w:r>
      <w:bookmarkEnd w:id="191"/>
    </w:p>
    <w:p w14:paraId="6D0916CC">
      <w:pPr>
        <w:spacing w:before="120" w:beforeLines="50" w:after="120" w:afterLines="50"/>
        <w:rPr>
          <w:rFonts w:hint="eastAsia" w:ascii="宋体" w:hAnsi="宋体" w:eastAsia="宋体" w:cs="宋体"/>
          <w:sz w:val="22"/>
          <w:highlight w:val="none"/>
        </w:rPr>
      </w:pPr>
    </w:p>
    <w:p w14:paraId="2AB44EF3">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14:paraId="3C7568FF">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2D55E7AE">
      <w:pPr>
        <w:jc w:val="right"/>
        <w:rPr>
          <w:rFonts w:hint="eastAsia" w:ascii="宋体" w:hAnsi="宋体" w:eastAsia="宋体" w:cs="宋体"/>
          <w:szCs w:val="24"/>
          <w:highlight w:val="none"/>
        </w:rPr>
      </w:pPr>
    </w:p>
    <w:p w14:paraId="32E0843F">
      <w:pPr>
        <w:ind w:left="480" w:hanging="480" w:hangingChars="200"/>
        <w:rPr>
          <w:rFonts w:hint="eastAsia" w:ascii="宋体" w:hAnsi="宋体" w:eastAsia="宋体" w:cs="宋体"/>
          <w:sz w:val="24"/>
          <w:szCs w:val="24"/>
          <w:highlight w:val="none"/>
        </w:rPr>
      </w:pPr>
    </w:p>
    <w:p w14:paraId="33E8ED98">
      <w:pPr>
        <w:rPr>
          <w:rFonts w:hint="eastAsia" w:ascii="宋体" w:hAnsi="宋体" w:eastAsia="宋体" w:cs="宋体"/>
          <w:szCs w:val="24"/>
          <w:highlight w:val="none"/>
        </w:rPr>
      </w:pPr>
    </w:p>
    <w:p w14:paraId="28884456">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14:paraId="48883944">
      <w:pPr>
        <w:rPr>
          <w:rFonts w:hint="eastAsia" w:ascii="宋体" w:hAnsi="宋体" w:eastAsia="宋体" w:cs="宋体"/>
          <w:sz w:val="28"/>
          <w:szCs w:val="28"/>
          <w:highlight w:val="none"/>
        </w:rPr>
      </w:pPr>
    </w:p>
    <w:p w14:paraId="21466B78">
      <w:pPr>
        <w:rPr>
          <w:rFonts w:hint="eastAsia" w:ascii="宋体" w:hAnsi="宋体" w:eastAsia="宋体" w:cs="宋体"/>
          <w:sz w:val="28"/>
          <w:szCs w:val="28"/>
          <w:highlight w:val="none"/>
        </w:rPr>
      </w:pPr>
    </w:p>
    <w:p w14:paraId="0FD5C908">
      <w:pPr>
        <w:rPr>
          <w:rFonts w:hint="eastAsia" w:ascii="宋体" w:hAnsi="宋体" w:eastAsia="宋体" w:cs="宋体"/>
          <w:sz w:val="28"/>
          <w:szCs w:val="28"/>
          <w:highlight w:val="none"/>
        </w:rPr>
      </w:pPr>
    </w:p>
    <w:p w14:paraId="15464E85">
      <w:pPr>
        <w:rPr>
          <w:rFonts w:hint="eastAsia" w:ascii="宋体" w:hAnsi="宋体" w:eastAsia="宋体" w:cs="宋体"/>
          <w:sz w:val="28"/>
          <w:szCs w:val="28"/>
          <w:highlight w:val="none"/>
        </w:rPr>
      </w:pPr>
    </w:p>
    <w:p w14:paraId="7FC468FF">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14:paraId="2B8A44B4">
      <w:pPr>
        <w:spacing w:line="360" w:lineRule="auto"/>
        <w:rPr>
          <w:rFonts w:hint="eastAsia" w:ascii="宋体" w:hAnsi="宋体" w:eastAsia="宋体" w:cs="宋体"/>
          <w:szCs w:val="21"/>
          <w:highlight w:val="none"/>
        </w:rPr>
      </w:pPr>
    </w:p>
    <w:p w14:paraId="67E16DE2">
      <w:pPr>
        <w:spacing w:line="360" w:lineRule="auto"/>
        <w:rPr>
          <w:rFonts w:hint="eastAsia" w:ascii="宋体" w:hAnsi="宋体" w:eastAsia="宋体" w:cs="宋体"/>
          <w:szCs w:val="21"/>
          <w:highlight w:val="none"/>
        </w:rPr>
      </w:pPr>
    </w:p>
    <w:p w14:paraId="50F1ED95">
      <w:pPr>
        <w:autoSpaceDE w:val="0"/>
        <w:autoSpaceDN w:val="0"/>
        <w:adjustRightInd w:val="0"/>
        <w:spacing w:after="120"/>
        <w:ind w:firstLine="210" w:firstLineChars="100"/>
        <w:jc w:val="left"/>
        <w:rPr>
          <w:rFonts w:hint="eastAsia" w:ascii="宋体" w:hAnsi="宋体" w:eastAsia="宋体" w:cs="宋体"/>
          <w:szCs w:val="24"/>
          <w:highlight w:val="none"/>
        </w:rPr>
      </w:pPr>
    </w:p>
    <w:p w14:paraId="6B165BBB">
      <w:pPr>
        <w:spacing w:line="360" w:lineRule="auto"/>
        <w:rPr>
          <w:rFonts w:hint="eastAsia" w:ascii="宋体" w:hAnsi="宋体" w:eastAsia="宋体" w:cs="宋体"/>
          <w:szCs w:val="21"/>
          <w:highlight w:val="none"/>
        </w:rPr>
      </w:pPr>
    </w:p>
    <w:p w14:paraId="60C4F9A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14:paraId="2D7ED723">
      <w:pPr>
        <w:rPr>
          <w:rFonts w:hint="eastAsia" w:ascii="宋体" w:hAnsi="宋体" w:eastAsia="宋体" w:cs="宋体"/>
          <w:sz w:val="28"/>
          <w:szCs w:val="28"/>
          <w:highlight w:val="none"/>
          <w:u w:val="single"/>
        </w:rPr>
      </w:pPr>
    </w:p>
    <w:p w14:paraId="242B1018">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4E41E39F">
      <w:pPr>
        <w:rPr>
          <w:rFonts w:hint="eastAsia" w:ascii="宋体" w:hAnsi="宋体" w:eastAsia="宋体" w:cs="宋体"/>
          <w:sz w:val="28"/>
          <w:szCs w:val="28"/>
          <w:highlight w:val="none"/>
        </w:rPr>
      </w:pPr>
    </w:p>
    <w:p w14:paraId="2B6A567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4609C8A3">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14:paraId="49ABC84E">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48A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9C924F4">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14:paraId="3246647C">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14:paraId="06C015FC">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2CAE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09C533E">
            <w:pPr>
              <w:jc w:val="center"/>
              <w:rPr>
                <w:rFonts w:hint="eastAsia" w:ascii="宋体" w:hAnsi="宋体" w:eastAsia="宋体" w:cs="宋体"/>
                <w:b/>
                <w:sz w:val="18"/>
                <w:szCs w:val="18"/>
                <w:highlight w:val="none"/>
              </w:rPr>
            </w:pPr>
          </w:p>
        </w:tc>
        <w:tc>
          <w:tcPr>
            <w:tcW w:w="7122" w:type="dxa"/>
            <w:vAlign w:val="center"/>
          </w:tcPr>
          <w:p w14:paraId="3C82B700">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14:paraId="037B3EFA">
            <w:pPr>
              <w:jc w:val="center"/>
              <w:rPr>
                <w:rFonts w:hint="eastAsia" w:ascii="宋体" w:hAnsi="宋体" w:eastAsia="宋体" w:cs="宋体"/>
                <w:b/>
                <w:sz w:val="18"/>
                <w:szCs w:val="18"/>
                <w:highlight w:val="none"/>
              </w:rPr>
            </w:pPr>
          </w:p>
        </w:tc>
      </w:tr>
      <w:tr w14:paraId="1C93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8EF38B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043DF9DD">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14:paraId="35F42F8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5FE4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79E078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72422DCC">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14:paraId="1CE6A84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7E0D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05EB13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2CD0C120">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14:paraId="3CB7F46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14:paraId="70F9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004256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5299CB12">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14:paraId="42A498EA">
            <w:pPr>
              <w:jc w:val="center"/>
              <w:rPr>
                <w:rFonts w:hint="eastAsia" w:ascii="宋体" w:hAnsi="宋体" w:eastAsia="宋体" w:cs="宋体"/>
                <w:sz w:val="18"/>
                <w:szCs w:val="18"/>
                <w:highlight w:val="none"/>
              </w:rPr>
            </w:pPr>
          </w:p>
        </w:tc>
      </w:tr>
      <w:tr w14:paraId="44E3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7B8AFE7">
            <w:pPr>
              <w:jc w:val="center"/>
              <w:rPr>
                <w:rFonts w:hint="eastAsia" w:ascii="宋体" w:hAnsi="宋体" w:eastAsia="宋体" w:cs="宋体"/>
                <w:sz w:val="18"/>
                <w:szCs w:val="18"/>
                <w:highlight w:val="none"/>
              </w:rPr>
            </w:pPr>
          </w:p>
        </w:tc>
        <w:tc>
          <w:tcPr>
            <w:tcW w:w="7122" w:type="dxa"/>
            <w:vAlign w:val="center"/>
          </w:tcPr>
          <w:p w14:paraId="719FE689">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14:paraId="0570D7EE">
            <w:pPr>
              <w:jc w:val="center"/>
              <w:rPr>
                <w:rFonts w:hint="eastAsia" w:ascii="宋体" w:hAnsi="宋体" w:eastAsia="宋体" w:cs="宋体"/>
                <w:sz w:val="18"/>
                <w:szCs w:val="18"/>
                <w:highlight w:val="none"/>
              </w:rPr>
            </w:pPr>
          </w:p>
        </w:tc>
      </w:tr>
      <w:tr w14:paraId="310C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9A36DD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4A7A0339">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14:paraId="76450579">
            <w:pPr>
              <w:jc w:val="center"/>
              <w:rPr>
                <w:rFonts w:hint="eastAsia" w:ascii="宋体" w:hAnsi="宋体" w:eastAsia="宋体" w:cs="宋体"/>
                <w:sz w:val="18"/>
                <w:szCs w:val="18"/>
                <w:highlight w:val="none"/>
              </w:rPr>
            </w:pPr>
          </w:p>
        </w:tc>
      </w:tr>
      <w:tr w14:paraId="6DFB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9C615C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27A13253">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14:paraId="431BE1F7">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14:paraId="232F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22A291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14:paraId="57CF14BF">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参加国企采购活动前三年内，在经营活动中没有重大违法记录。请在投标声明书中如实填写（新成立不满三年的组织机构自成立之日起算）</w:t>
            </w:r>
          </w:p>
        </w:tc>
        <w:tc>
          <w:tcPr>
            <w:tcW w:w="1105" w:type="dxa"/>
            <w:vAlign w:val="center"/>
          </w:tcPr>
          <w:p w14:paraId="56C83AC3">
            <w:pPr>
              <w:jc w:val="center"/>
              <w:rPr>
                <w:rFonts w:hint="eastAsia" w:ascii="宋体" w:hAnsi="宋体" w:eastAsia="宋体" w:cs="宋体"/>
                <w:sz w:val="18"/>
                <w:szCs w:val="18"/>
                <w:highlight w:val="none"/>
              </w:rPr>
            </w:pPr>
          </w:p>
        </w:tc>
      </w:tr>
      <w:tr w14:paraId="357F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1A365A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14:paraId="2243E05D">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5F585D05">
            <w:pPr>
              <w:jc w:val="center"/>
              <w:rPr>
                <w:rFonts w:hint="eastAsia" w:ascii="宋体" w:hAnsi="宋体" w:eastAsia="宋体" w:cs="宋体"/>
                <w:sz w:val="18"/>
                <w:szCs w:val="18"/>
                <w:highlight w:val="none"/>
              </w:rPr>
            </w:pPr>
          </w:p>
        </w:tc>
      </w:tr>
      <w:tr w14:paraId="073E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14:paraId="54C2DDD2">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14:paraId="7948D0DC">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14:paraId="6915A462">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14:paraId="19CA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ADD7C73">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14:paraId="5EEE5A2D">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14:paraId="5F144279">
            <w:pPr>
              <w:jc w:val="center"/>
              <w:rPr>
                <w:rFonts w:hint="eastAsia" w:ascii="宋体" w:hAnsi="宋体" w:eastAsia="宋体" w:cs="宋体"/>
                <w:sz w:val="18"/>
                <w:szCs w:val="18"/>
                <w:highlight w:val="none"/>
              </w:rPr>
            </w:pPr>
          </w:p>
        </w:tc>
      </w:tr>
      <w:tr w14:paraId="740D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AFAF10E">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14:paraId="44E26F41">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14:paraId="40F2D1F4">
            <w:pPr>
              <w:jc w:val="center"/>
              <w:rPr>
                <w:rFonts w:hint="eastAsia" w:ascii="宋体" w:hAnsi="宋体" w:eastAsia="宋体" w:cs="宋体"/>
                <w:sz w:val="18"/>
                <w:szCs w:val="18"/>
                <w:highlight w:val="none"/>
              </w:rPr>
            </w:pPr>
          </w:p>
        </w:tc>
      </w:tr>
      <w:tr w14:paraId="1E00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EEB1DD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14:paraId="3030303A">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14:paraId="4B09A5F9">
            <w:pPr>
              <w:jc w:val="center"/>
              <w:rPr>
                <w:rFonts w:hint="eastAsia" w:ascii="宋体" w:hAnsi="宋体" w:eastAsia="宋体" w:cs="宋体"/>
                <w:sz w:val="18"/>
                <w:szCs w:val="18"/>
                <w:highlight w:val="none"/>
              </w:rPr>
            </w:pPr>
          </w:p>
        </w:tc>
      </w:tr>
      <w:tr w14:paraId="3CB3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399AAEF">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14:paraId="57D6CE09">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14:paraId="1C718FE7">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14:paraId="077B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EB7B407">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14:paraId="6EE14603">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14:paraId="50A958FA">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14:paraId="47C0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9B1585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14:paraId="1E9D04AD">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14:paraId="035B7642">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14:paraId="097C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7354A38">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14:paraId="2C1E0C07">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w:t>
            </w: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lang w:eastAsia="zh-CN"/>
              </w:rPr>
              <w:t>年1月1日以来</w:t>
            </w:r>
            <w:r>
              <w:rPr>
                <w:rFonts w:hint="eastAsia" w:ascii="宋体" w:hAnsi="宋体" w:eastAsia="宋体" w:cs="宋体"/>
                <w:sz w:val="18"/>
                <w:szCs w:val="18"/>
                <w:highlight w:val="none"/>
              </w:rPr>
              <w:t>同类项目业绩一览表</w:t>
            </w:r>
          </w:p>
        </w:tc>
        <w:tc>
          <w:tcPr>
            <w:tcW w:w="1105" w:type="dxa"/>
            <w:vAlign w:val="center"/>
          </w:tcPr>
          <w:p w14:paraId="10ECEE33">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14:paraId="2C3A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D897ECD">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vAlign w:val="center"/>
          </w:tcPr>
          <w:p w14:paraId="070147E4">
            <w:pP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服务人员人均月工资承诺函</w:t>
            </w:r>
          </w:p>
        </w:tc>
        <w:tc>
          <w:tcPr>
            <w:tcW w:w="1105" w:type="dxa"/>
            <w:vAlign w:val="center"/>
          </w:tcPr>
          <w:p w14:paraId="68538B90">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附件十</w:t>
            </w:r>
          </w:p>
        </w:tc>
      </w:tr>
      <w:tr w14:paraId="7A7C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A2EB559">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7122" w:type="dxa"/>
            <w:vAlign w:val="center"/>
          </w:tcPr>
          <w:p w14:paraId="4581F2BA">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rPr>
              <w:t>根据采购文件中的采购内容及要求以及技术资信评分项目逐项编制</w:t>
            </w:r>
            <w:r>
              <w:rPr>
                <w:rFonts w:hint="eastAsia" w:ascii="宋体" w:hAnsi="宋体" w:eastAsia="宋体" w:cs="宋体"/>
                <w:sz w:val="18"/>
                <w:szCs w:val="18"/>
                <w:highlight w:val="none"/>
                <w:lang w:eastAsia="zh-CN"/>
              </w:rPr>
              <w:t>）</w:t>
            </w:r>
          </w:p>
        </w:tc>
        <w:tc>
          <w:tcPr>
            <w:tcW w:w="1105" w:type="dxa"/>
            <w:vAlign w:val="center"/>
          </w:tcPr>
          <w:p w14:paraId="5A4A7C9A">
            <w:pPr>
              <w:jc w:val="center"/>
              <w:rPr>
                <w:rFonts w:hint="eastAsia" w:ascii="宋体" w:hAnsi="宋体" w:eastAsia="宋体" w:cs="宋体"/>
                <w:sz w:val="18"/>
                <w:szCs w:val="18"/>
                <w:highlight w:val="none"/>
                <w:lang w:val="en-US" w:eastAsia="zh-CN"/>
              </w:rPr>
            </w:pPr>
          </w:p>
        </w:tc>
      </w:tr>
    </w:tbl>
    <w:p w14:paraId="4389C123">
      <w:pPr>
        <w:pStyle w:val="12"/>
        <w:rPr>
          <w:rFonts w:hint="eastAsia" w:ascii="宋体" w:hAnsi="宋体" w:eastAsia="宋体" w:cs="宋体"/>
          <w:snapToGrid w:val="0"/>
          <w:sz w:val="32"/>
          <w:szCs w:val="20"/>
          <w:highlight w:val="none"/>
        </w:rPr>
      </w:pPr>
    </w:p>
    <w:p w14:paraId="23B9FB23">
      <w:pPr>
        <w:pStyle w:val="12"/>
        <w:rPr>
          <w:rFonts w:hint="eastAsia" w:ascii="宋体" w:hAnsi="宋体" w:eastAsia="宋体" w:cs="宋体"/>
          <w:snapToGrid w:val="0"/>
          <w:sz w:val="32"/>
          <w:szCs w:val="20"/>
          <w:highlight w:val="none"/>
        </w:rPr>
      </w:pPr>
    </w:p>
    <w:p w14:paraId="05B1A3CE">
      <w:pPr>
        <w:jc w:val="left"/>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br w:type="page"/>
      </w:r>
    </w:p>
    <w:p w14:paraId="3764CF83">
      <w:pPr>
        <w:pStyle w:val="9"/>
        <w:ind w:firstLine="210"/>
        <w:rPr>
          <w:rFonts w:hint="eastAsia" w:ascii="宋体" w:hAnsi="宋体" w:eastAsia="宋体" w:cs="宋体"/>
          <w:highlight w:val="none"/>
        </w:rPr>
      </w:pPr>
    </w:p>
    <w:p w14:paraId="261454ED">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14:paraId="0B608637">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14:paraId="0F7B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14:paraId="6428E39A">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14:paraId="12C69FC4">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14:paraId="6E923329">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14:paraId="2A13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2749A129">
            <w:pPr>
              <w:spacing w:line="420" w:lineRule="exact"/>
              <w:jc w:val="center"/>
              <w:rPr>
                <w:rFonts w:hint="eastAsia" w:ascii="宋体" w:hAnsi="宋体" w:eastAsia="宋体" w:cs="宋体"/>
                <w:sz w:val="18"/>
                <w:szCs w:val="18"/>
                <w:highlight w:val="none"/>
              </w:rPr>
            </w:pPr>
          </w:p>
        </w:tc>
        <w:tc>
          <w:tcPr>
            <w:tcW w:w="5144" w:type="dxa"/>
            <w:vAlign w:val="center"/>
          </w:tcPr>
          <w:p w14:paraId="051928FA">
            <w:pPr>
              <w:spacing w:line="420" w:lineRule="exact"/>
              <w:jc w:val="center"/>
              <w:rPr>
                <w:rFonts w:hint="eastAsia" w:ascii="宋体" w:hAnsi="宋体" w:eastAsia="宋体" w:cs="宋体"/>
                <w:sz w:val="18"/>
                <w:szCs w:val="18"/>
                <w:highlight w:val="none"/>
              </w:rPr>
            </w:pPr>
          </w:p>
        </w:tc>
        <w:tc>
          <w:tcPr>
            <w:tcW w:w="2690" w:type="dxa"/>
            <w:vAlign w:val="center"/>
          </w:tcPr>
          <w:p w14:paraId="7F0FD4A2">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0E34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574F9DA8">
            <w:pPr>
              <w:spacing w:line="420" w:lineRule="exact"/>
              <w:jc w:val="center"/>
              <w:rPr>
                <w:rFonts w:hint="eastAsia" w:ascii="宋体" w:hAnsi="宋体" w:eastAsia="宋体" w:cs="宋体"/>
                <w:sz w:val="18"/>
                <w:szCs w:val="18"/>
                <w:highlight w:val="none"/>
              </w:rPr>
            </w:pPr>
          </w:p>
        </w:tc>
        <w:tc>
          <w:tcPr>
            <w:tcW w:w="5144" w:type="dxa"/>
            <w:vAlign w:val="center"/>
          </w:tcPr>
          <w:p w14:paraId="4D285AFF">
            <w:pPr>
              <w:spacing w:line="420" w:lineRule="exact"/>
              <w:jc w:val="center"/>
              <w:rPr>
                <w:rFonts w:hint="eastAsia" w:ascii="宋体" w:hAnsi="宋体" w:eastAsia="宋体" w:cs="宋体"/>
                <w:sz w:val="18"/>
                <w:szCs w:val="18"/>
                <w:highlight w:val="none"/>
              </w:rPr>
            </w:pPr>
          </w:p>
        </w:tc>
        <w:tc>
          <w:tcPr>
            <w:tcW w:w="2690" w:type="dxa"/>
            <w:vAlign w:val="center"/>
          </w:tcPr>
          <w:p w14:paraId="3050248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1EBB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713BCD3">
            <w:pPr>
              <w:spacing w:line="420" w:lineRule="exact"/>
              <w:jc w:val="center"/>
              <w:rPr>
                <w:rFonts w:hint="eastAsia" w:ascii="宋体" w:hAnsi="宋体" w:eastAsia="宋体" w:cs="宋体"/>
                <w:sz w:val="18"/>
                <w:szCs w:val="18"/>
                <w:highlight w:val="none"/>
              </w:rPr>
            </w:pPr>
          </w:p>
        </w:tc>
        <w:tc>
          <w:tcPr>
            <w:tcW w:w="5144" w:type="dxa"/>
            <w:vAlign w:val="center"/>
          </w:tcPr>
          <w:p w14:paraId="027F555A">
            <w:pPr>
              <w:spacing w:line="420" w:lineRule="exact"/>
              <w:jc w:val="center"/>
              <w:rPr>
                <w:rFonts w:hint="eastAsia" w:ascii="宋体" w:hAnsi="宋体" w:eastAsia="宋体" w:cs="宋体"/>
                <w:sz w:val="18"/>
                <w:szCs w:val="18"/>
                <w:highlight w:val="none"/>
              </w:rPr>
            </w:pPr>
          </w:p>
        </w:tc>
        <w:tc>
          <w:tcPr>
            <w:tcW w:w="2690" w:type="dxa"/>
            <w:vAlign w:val="center"/>
          </w:tcPr>
          <w:p w14:paraId="7DC4BF9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497B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293B74A0">
            <w:pPr>
              <w:spacing w:line="420" w:lineRule="exact"/>
              <w:jc w:val="center"/>
              <w:rPr>
                <w:rFonts w:hint="eastAsia" w:ascii="宋体" w:hAnsi="宋体" w:eastAsia="宋体" w:cs="宋体"/>
                <w:sz w:val="18"/>
                <w:szCs w:val="18"/>
                <w:highlight w:val="none"/>
              </w:rPr>
            </w:pPr>
          </w:p>
        </w:tc>
        <w:tc>
          <w:tcPr>
            <w:tcW w:w="5144" w:type="dxa"/>
            <w:vAlign w:val="center"/>
          </w:tcPr>
          <w:p w14:paraId="5F2FFC6C">
            <w:pPr>
              <w:spacing w:line="420" w:lineRule="exact"/>
              <w:jc w:val="center"/>
              <w:rPr>
                <w:rFonts w:hint="eastAsia" w:ascii="宋体" w:hAnsi="宋体" w:eastAsia="宋体" w:cs="宋体"/>
                <w:sz w:val="18"/>
                <w:szCs w:val="18"/>
                <w:highlight w:val="none"/>
              </w:rPr>
            </w:pPr>
          </w:p>
        </w:tc>
        <w:tc>
          <w:tcPr>
            <w:tcW w:w="2690" w:type="dxa"/>
            <w:vAlign w:val="center"/>
          </w:tcPr>
          <w:p w14:paraId="6B9B6DC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4FD8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0A3F2389">
            <w:pPr>
              <w:spacing w:line="420" w:lineRule="exact"/>
              <w:jc w:val="center"/>
              <w:rPr>
                <w:rFonts w:hint="eastAsia" w:ascii="宋体" w:hAnsi="宋体" w:eastAsia="宋体" w:cs="宋体"/>
                <w:sz w:val="18"/>
                <w:szCs w:val="18"/>
                <w:highlight w:val="none"/>
              </w:rPr>
            </w:pPr>
          </w:p>
        </w:tc>
        <w:tc>
          <w:tcPr>
            <w:tcW w:w="5144" w:type="dxa"/>
            <w:vAlign w:val="center"/>
          </w:tcPr>
          <w:p w14:paraId="355CB9E1">
            <w:pPr>
              <w:spacing w:line="420" w:lineRule="exact"/>
              <w:jc w:val="center"/>
              <w:rPr>
                <w:rFonts w:hint="eastAsia" w:ascii="宋体" w:hAnsi="宋体" w:eastAsia="宋体" w:cs="宋体"/>
                <w:sz w:val="18"/>
                <w:szCs w:val="18"/>
                <w:highlight w:val="none"/>
              </w:rPr>
            </w:pPr>
          </w:p>
        </w:tc>
        <w:tc>
          <w:tcPr>
            <w:tcW w:w="2690" w:type="dxa"/>
            <w:vAlign w:val="center"/>
          </w:tcPr>
          <w:p w14:paraId="639E817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5239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655EDA6">
            <w:pPr>
              <w:spacing w:line="420" w:lineRule="exact"/>
              <w:jc w:val="center"/>
              <w:rPr>
                <w:rFonts w:hint="eastAsia" w:ascii="宋体" w:hAnsi="宋体" w:eastAsia="宋体" w:cs="宋体"/>
                <w:sz w:val="18"/>
                <w:szCs w:val="18"/>
                <w:highlight w:val="none"/>
              </w:rPr>
            </w:pPr>
          </w:p>
        </w:tc>
        <w:tc>
          <w:tcPr>
            <w:tcW w:w="5144" w:type="dxa"/>
            <w:vAlign w:val="center"/>
          </w:tcPr>
          <w:p w14:paraId="6D91835B">
            <w:pPr>
              <w:spacing w:line="420" w:lineRule="exact"/>
              <w:jc w:val="center"/>
              <w:rPr>
                <w:rFonts w:hint="eastAsia" w:ascii="宋体" w:hAnsi="宋体" w:eastAsia="宋体" w:cs="宋体"/>
                <w:sz w:val="18"/>
                <w:szCs w:val="18"/>
                <w:highlight w:val="none"/>
              </w:rPr>
            </w:pPr>
          </w:p>
        </w:tc>
        <w:tc>
          <w:tcPr>
            <w:tcW w:w="2690" w:type="dxa"/>
            <w:vAlign w:val="center"/>
          </w:tcPr>
          <w:p w14:paraId="3C4C6DC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00EC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9BEF4E4">
            <w:pPr>
              <w:spacing w:line="420" w:lineRule="exact"/>
              <w:jc w:val="center"/>
              <w:rPr>
                <w:rFonts w:hint="eastAsia" w:ascii="宋体" w:hAnsi="宋体" w:eastAsia="宋体" w:cs="宋体"/>
                <w:sz w:val="18"/>
                <w:szCs w:val="18"/>
                <w:highlight w:val="none"/>
              </w:rPr>
            </w:pPr>
          </w:p>
        </w:tc>
        <w:tc>
          <w:tcPr>
            <w:tcW w:w="5144" w:type="dxa"/>
            <w:vAlign w:val="center"/>
          </w:tcPr>
          <w:p w14:paraId="59A3CB01">
            <w:pPr>
              <w:spacing w:line="420" w:lineRule="exact"/>
              <w:jc w:val="center"/>
              <w:rPr>
                <w:rFonts w:hint="eastAsia" w:ascii="宋体" w:hAnsi="宋体" w:eastAsia="宋体" w:cs="宋体"/>
                <w:sz w:val="18"/>
                <w:szCs w:val="18"/>
                <w:highlight w:val="none"/>
              </w:rPr>
            </w:pPr>
          </w:p>
        </w:tc>
        <w:tc>
          <w:tcPr>
            <w:tcW w:w="2690" w:type="dxa"/>
            <w:vAlign w:val="center"/>
          </w:tcPr>
          <w:p w14:paraId="158B628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14:paraId="43256E3A">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14:paraId="0D14FC5C">
      <w:pPr>
        <w:pStyle w:val="54"/>
        <w:numPr>
          <w:ilvl w:val="0"/>
          <w:numId w:val="24"/>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rPr>
        <w:t>建议此表放在技术资信标封面后第一页，方便评委打分时可以快速查阅到与评分项有关的内容</w:t>
      </w:r>
      <w:r>
        <w:rPr>
          <w:rFonts w:hint="eastAsia" w:ascii="宋体" w:hAnsi="宋体" w:eastAsia="宋体" w:cs="宋体"/>
          <w:sz w:val="24"/>
          <w:szCs w:val="24"/>
          <w:highlight w:val="none"/>
        </w:rPr>
        <w:t>。</w:t>
      </w:r>
    </w:p>
    <w:p w14:paraId="24305E19">
      <w:pPr>
        <w:pStyle w:val="54"/>
        <w:numPr>
          <w:ilvl w:val="0"/>
          <w:numId w:val="24"/>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技术资信评分项中要求提供的技术参数等内容投标人需做清晰标识，格式可自拟。</w:t>
      </w:r>
    </w:p>
    <w:p w14:paraId="2CD7FDD7">
      <w:pPr>
        <w:pStyle w:val="9"/>
        <w:ind w:firstLine="210"/>
        <w:rPr>
          <w:rFonts w:hint="eastAsia" w:ascii="宋体" w:hAnsi="宋体" w:eastAsia="宋体" w:cs="宋体"/>
          <w:highlight w:val="none"/>
        </w:rPr>
      </w:pPr>
    </w:p>
    <w:p w14:paraId="211E731D">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14:paraId="5B6017B8">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14:paraId="76C08EF2">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14:paraId="2A4F2EBF">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项目（采购编号：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（投标供应商名称）作为投标供应商正式授权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14:paraId="6022C0F0">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14:paraId="751B132E">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（—）按“投标供应商须知”要求编制的投标文件技术标【正本一份，副本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14:paraId="3FB664E6">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（二）按“投标供应商须知”要求编制的投标文件商务（报价）标【正本一份，副本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14:paraId="37995A89">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14:paraId="5EA93EEB">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14:paraId="674887A5">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14:paraId="32FBF484">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（三）我方明白并愿意在规定的开标时间之后，</w:t>
      </w:r>
      <w:r>
        <w:rPr>
          <w:rFonts w:hint="eastAsia" w:ascii="宋体" w:hAnsi="宋体" w:eastAsia="宋体" w:cs="宋体"/>
          <w:sz w:val="22"/>
          <w:szCs w:val="24"/>
          <w:highlight w:val="none"/>
          <w:lang w:val="en-US" w:eastAsia="zh-CN"/>
        </w:rPr>
        <w:t>如我方出现投标人须知第三条第13.4款规定的情况之一的，我方</w:t>
      </w:r>
      <w:r>
        <w:rPr>
          <w:rFonts w:hint="eastAsia" w:ascii="宋体" w:hAnsi="宋体" w:eastAsia="宋体" w:cs="宋体"/>
          <w:sz w:val="22"/>
          <w:szCs w:val="24"/>
          <w:highlight w:val="none"/>
        </w:rPr>
        <w:t>投标保证金将</w:t>
      </w:r>
      <w:r>
        <w:rPr>
          <w:rFonts w:hint="eastAsia" w:ascii="宋体" w:hAnsi="宋体" w:eastAsia="宋体" w:cs="宋体"/>
          <w:sz w:val="22"/>
          <w:szCs w:val="24"/>
          <w:highlight w:val="none"/>
          <w:lang w:val="en-US" w:eastAsia="zh-CN"/>
        </w:rPr>
        <w:t>不予退还</w:t>
      </w:r>
      <w:r>
        <w:rPr>
          <w:rFonts w:hint="eastAsia" w:ascii="宋体" w:hAnsi="宋体" w:eastAsia="宋体" w:cs="宋体"/>
          <w:sz w:val="22"/>
          <w:szCs w:val="24"/>
          <w:highlight w:val="none"/>
        </w:rPr>
        <w:t>；</w:t>
      </w:r>
    </w:p>
    <w:p w14:paraId="23596DAC">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）我方同意提供按照贵方可能要求的与投标有关的一切数据或资料；</w:t>
      </w:r>
    </w:p>
    <w:p w14:paraId="6FA915B0">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五</w:t>
      </w:r>
      <w:r>
        <w:rPr>
          <w:rFonts w:hint="eastAsia" w:ascii="宋体" w:hAnsi="宋体" w:eastAsia="宋体" w:cs="宋体"/>
          <w:sz w:val="22"/>
          <w:szCs w:val="24"/>
          <w:highlight w:val="none"/>
        </w:rPr>
        <w:t>）我方理解贵方不一定接受最低报价。</w:t>
      </w:r>
    </w:p>
    <w:p w14:paraId="7473D9D8">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）我方如果中标，将保证履行采购文件以及采购文件修改书（如有）中的全部责任和义务，按质、按量、按期完成《合同书》中的全部任务。</w:t>
      </w:r>
    </w:p>
    <w:p w14:paraId="44C8DDE6">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七</w:t>
      </w:r>
      <w:r>
        <w:rPr>
          <w:rFonts w:hint="eastAsia" w:ascii="宋体" w:hAnsi="宋体" w:eastAsia="宋体" w:cs="宋体"/>
          <w:sz w:val="22"/>
          <w:szCs w:val="24"/>
          <w:highlight w:val="none"/>
        </w:rPr>
        <w:t>）所有与本投标有关的函件请发往下列地址：</w:t>
      </w:r>
    </w:p>
    <w:p w14:paraId="727314B1">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14:paraId="7CA63393">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14:paraId="63F38756">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14:paraId="6DFFD0DE">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14:paraId="07C2ADA9">
      <w:pPr>
        <w:spacing w:line="360" w:lineRule="auto"/>
        <w:rPr>
          <w:rFonts w:hint="eastAsia" w:ascii="宋体" w:hAnsi="宋体" w:eastAsia="宋体" w:cs="宋体"/>
          <w:bCs/>
          <w:sz w:val="22"/>
          <w:highlight w:val="none"/>
        </w:rPr>
      </w:pPr>
    </w:p>
    <w:p w14:paraId="57254657">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14:paraId="7575E732">
      <w:pPr>
        <w:spacing w:line="360" w:lineRule="auto"/>
        <w:rPr>
          <w:rFonts w:hint="eastAsia" w:ascii="宋体" w:hAnsi="宋体" w:eastAsia="宋体" w:cs="宋体"/>
          <w:bCs/>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14:paraId="75846396">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14:paraId="55FF22A3">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14:paraId="796704B9">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EB5D1B4">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14:paraId="5A8F6482">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14:paraId="441617F7">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采购编号：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14:paraId="269BB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14:paraId="375D0757">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027B9C7C">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14:paraId="1C955C67">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14:paraId="78CA8F3F">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14:paraId="0FA4B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14:paraId="6B73B81A">
            <w:pPr>
              <w:jc w:val="center"/>
              <w:rPr>
                <w:rFonts w:hint="eastAsia" w:ascii="宋体" w:hAnsi="宋体" w:eastAsia="宋体" w:cs="宋体"/>
                <w:sz w:val="22"/>
                <w:highlight w:val="none"/>
              </w:rPr>
            </w:pPr>
          </w:p>
        </w:tc>
        <w:tc>
          <w:tcPr>
            <w:tcW w:w="1115" w:type="dxa"/>
            <w:vAlign w:val="center"/>
          </w:tcPr>
          <w:p w14:paraId="4999DC33">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52BB07F4">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gridSpan w:val="2"/>
            <w:vAlign w:val="center"/>
          </w:tcPr>
          <w:p w14:paraId="68CA9BDB">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23" w:type="dxa"/>
            <w:vAlign w:val="center"/>
          </w:tcPr>
          <w:p w14:paraId="1CAD4519">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14:paraId="5427DBC1">
            <w:pPr>
              <w:autoSpaceDE w:val="0"/>
              <w:autoSpaceDN w:val="0"/>
              <w:adjustRightInd w:val="0"/>
              <w:jc w:val="center"/>
              <w:rPr>
                <w:rFonts w:hint="eastAsia" w:ascii="宋体" w:hAnsi="宋体" w:eastAsia="宋体" w:cs="宋体"/>
                <w:sz w:val="22"/>
                <w:highlight w:val="none"/>
              </w:rPr>
            </w:pPr>
          </w:p>
        </w:tc>
      </w:tr>
      <w:tr w14:paraId="4903F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298F7250">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14:paraId="0102D741">
            <w:pPr>
              <w:jc w:val="center"/>
              <w:rPr>
                <w:rFonts w:hint="eastAsia" w:ascii="宋体" w:hAnsi="宋体" w:eastAsia="宋体" w:cs="宋体"/>
                <w:sz w:val="22"/>
                <w:highlight w:val="none"/>
              </w:rPr>
            </w:pPr>
          </w:p>
        </w:tc>
        <w:tc>
          <w:tcPr>
            <w:tcW w:w="2634" w:type="dxa"/>
            <w:vAlign w:val="center"/>
          </w:tcPr>
          <w:p w14:paraId="253AA18A">
            <w:pPr>
              <w:jc w:val="center"/>
              <w:rPr>
                <w:rFonts w:hint="eastAsia" w:ascii="宋体" w:hAnsi="宋体" w:eastAsia="宋体" w:cs="宋体"/>
                <w:sz w:val="22"/>
                <w:highlight w:val="none"/>
              </w:rPr>
            </w:pPr>
          </w:p>
        </w:tc>
        <w:tc>
          <w:tcPr>
            <w:tcW w:w="1210" w:type="dxa"/>
            <w:gridSpan w:val="2"/>
            <w:vAlign w:val="center"/>
          </w:tcPr>
          <w:p w14:paraId="5153C580">
            <w:pPr>
              <w:jc w:val="center"/>
              <w:rPr>
                <w:rFonts w:hint="eastAsia" w:ascii="宋体" w:hAnsi="宋体" w:eastAsia="宋体" w:cs="宋体"/>
                <w:sz w:val="22"/>
                <w:highlight w:val="none"/>
              </w:rPr>
            </w:pPr>
          </w:p>
        </w:tc>
        <w:tc>
          <w:tcPr>
            <w:tcW w:w="2323" w:type="dxa"/>
            <w:vAlign w:val="center"/>
          </w:tcPr>
          <w:p w14:paraId="76D7EB5F">
            <w:pPr>
              <w:jc w:val="center"/>
              <w:rPr>
                <w:rFonts w:hint="eastAsia" w:ascii="宋体" w:hAnsi="宋体" w:eastAsia="宋体" w:cs="宋体"/>
                <w:sz w:val="22"/>
                <w:highlight w:val="none"/>
              </w:rPr>
            </w:pPr>
          </w:p>
        </w:tc>
        <w:tc>
          <w:tcPr>
            <w:tcW w:w="1147" w:type="dxa"/>
            <w:vAlign w:val="center"/>
          </w:tcPr>
          <w:p w14:paraId="01B807A4">
            <w:pPr>
              <w:jc w:val="center"/>
              <w:rPr>
                <w:rFonts w:hint="eastAsia" w:ascii="宋体" w:hAnsi="宋体" w:eastAsia="宋体" w:cs="宋体"/>
                <w:sz w:val="22"/>
                <w:highlight w:val="none"/>
              </w:rPr>
            </w:pPr>
          </w:p>
        </w:tc>
      </w:tr>
      <w:tr w14:paraId="34A68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777332B7">
            <w:pPr>
              <w:jc w:val="center"/>
              <w:rPr>
                <w:rFonts w:hint="eastAsia" w:ascii="宋体" w:hAnsi="宋体" w:eastAsia="宋体" w:cs="宋体"/>
                <w:sz w:val="22"/>
                <w:highlight w:val="none"/>
              </w:rPr>
            </w:pPr>
          </w:p>
        </w:tc>
        <w:tc>
          <w:tcPr>
            <w:tcW w:w="1115" w:type="dxa"/>
            <w:vAlign w:val="center"/>
          </w:tcPr>
          <w:p w14:paraId="58F9D3F5">
            <w:pPr>
              <w:jc w:val="center"/>
              <w:rPr>
                <w:rFonts w:hint="eastAsia" w:ascii="宋体" w:hAnsi="宋体" w:eastAsia="宋体" w:cs="宋体"/>
                <w:sz w:val="22"/>
                <w:highlight w:val="none"/>
              </w:rPr>
            </w:pPr>
          </w:p>
        </w:tc>
        <w:tc>
          <w:tcPr>
            <w:tcW w:w="2634" w:type="dxa"/>
            <w:vAlign w:val="center"/>
          </w:tcPr>
          <w:p w14:paraId="4DA687A7">
            <w:pPr>
              <w:jc w:val="center"/>
              <w:rPr>
                <w:rFonts w:hint="eastAsia" w:ascii="宋体" w:hAnsi="宋体" w:eastAsia="宋体" w:cs="宋体"/>
                <w:sz w:val="22"/>
                <w:highlight w:val="none"/>
              </w:rPr>
            </w:pPr>
          </w:p>
        </w:tc>
        <w:tc>
          <w:tcPr>
            <w:tcW w:w="1210" w:type="dxa"/>
            <w:gridSpan w:val="2"/>
            <w:vAlign w:val="center"/>
          </w:tcPr>
          <w:p w14:paraId="70027F36">
            <w:pPr>
              <w:jc w:val="center"/>
              <w:rPr>
                <w:rFonts w:hint="eastAsia" w:ascii="宋体" w:hAnsi="宋体" w:eastAsia="宋体" w:cs="宋体"/>
                <w:sz w:val="22"/>
                <w:highlight w:val="none"/>
              </w:rPr>
            </w:pPr>
          </w:p>
        </w:tc>
        <w:tc>
          <w:tcPr>
            <w:tcW w:w="2323" w:type="dxa"/>
            <w:vAlign w:val="center"/>
          </w:tcPr>
          <w:p w14:paraId="4D76C0FA">
            <w:pPr>
              <w:jc w:val="center"/>
              <w:rPr>
                <w:rFonts w:hint="eastAsia" w:ascii="宋体" w:hAnsi="宋体" w:eastAsia="宋体" w:cs="宋体"/>
                <w:sz w:val="22"/>
                <w:highlight w:val="none"/>
              </w:rPr>
            </w:pPr>
          </w:p>
        </w:tc>
        <w:tc>
          <w:tcPr>
            <w:tcW w:w="1147" w:type="dxa"/>
            <w:vAlign w:val="center"/>
          </w:tcPr>
          <w:p w14:paraId="0682307D">
            <w:pPr>
              <w:jc w:val="center"/>
              <w:rPr>
                <w:rFonts w:hint="eastAsia" w:ascii="宋体" w:hAnsi="宋体" w:eastAsia="宋体" w:cs="宋体"/>
                <w:sz w:val="22"/>
                <w:highlight w:val="none"/>
              </w:rPr>
            </w:pPr>
          </w:p>
        </w:tc>
      </w:tr>
      <w:tr w14:paraId="1A8D1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6F7FA527">
            <w:pPr>
              <w:jc w:val="center"/>
              <w:rPr>
                <w:rFonts w:hint="eastAsia" w:ascii="宋体" w:hAnsi="宋体" w:eastAsia="宋体" w:cs="宋体"/>
                <w:sz w:val="22"/>
                <w:highlight w:val="none"/>
              </w:rPr>
            </w:pPr>
          </w:p>
        </w:tc>
        <w:tc>
          <w:tcPr>
            <w:tcW w:w="1115" w:type="dxa"/>
            <w:vAlign w:val="center"/>
          </w:tcPr>
          <w:p w14:paraId="65E1AE3E">
            <w:pPr>
              <w:jc w:val="center"/>
              <w:rPr>
                <w:rFonts w:hint="eastAsia" w:ascii="宋体" w:hAnsi="宋体" w:eastAsia="宋体" w:cs="宋体"/>
                <w:sz w:val="22"/>
                <w:highlight w:val="none"/>
              </w:rPr>
            </w:pPr>
          </w:p>
        </w:tc>
        <w:tc>
          <w:tcPr>
            <w:tcW w:w="2634" w:type="dxa"/>
            <w:vAlign w:val="center"/>
          </w:tcPr>
          <w:p w14:paraId="5FAF756A">
            <w:pPr>
              <w:jc w:val="center"/>
              <w:rPr>
                <w:rFonts w:hint="eastAsia" w:ascii="宋体" w:hAnsi="宋体" w:eastAsia="宋体" w:cs="宋体"/>
                <w:sz w:val="22"/>
                <w:highlight w:val="none"/>
              </w:rPr>
            </w:pPr>
          </w:p>
        </w:tc>
        <w:tc>
          <w:tcPr>
            <w:tcW w:w="1210" w:type="dxa"/>
            <w:gridSpan w:val="2"/>
            <w:vAlign w:val="center"/>
          </w:tcPr>
          <w:p w14:paraId="0D1DA4BA">
            <w:pPr>
              <w:jc w:val="center"/>
              <w:rPr>
                <w:rFonts w:hint="eastAsia" w:ascii="宋体" w:hAnsi="宋体" w:eastAsia="宋体" w:cs="宋体"/>
                <w:sz w:val="22"/>
                <w:highlight w:val="none"/>
              </w:rPr>
            </w:pPr>
          </w:p>
        </w:tc>
        <w:tc>
          <w:tcPr>
            <w:tcW w:w="2323" w:type="dxa"/>
            <w:vAlign w:val="center"/>
          </w:tcPr>
          <w:p w14:paraId="42D55DC9">
            <w:pPr>
              <w:jc w:val="center"/>
              <w:rPr>
                <w:rFonts w:hint="eastAsia" w:ascii="宋体" w:hAnsi="宋体" w:eastAsia="宋体" w:cs="宋体"/>
                <w:sz w:val="22"/>
                <w:highlight w:val="none"/>
              </w:rPr>
            </w:pPr>
          </w:p>
        </w:tc>
        <w:tc>
          <w:tcPr>
            <w:tcW w:w="1147" w:type="dxa"/>
            <w:vAlign w:val="center"/>
          </w:tcPr>
          <w:p w14:paraId="1A28F3B1">
            <w:pPr>
              <w:jc w:val="center"/>
              <w:rPr>
                <w:rFonts w:hint="eastAsia" w:ascii="宋体" w:hAnsi="宋体" w:eastAsia="宋体" w:cs="宋体"/>
                <w:sz w:val="22"/>
                <w:highlight w:val="none"/>
              </w:rPr>
            </w:pPr>
          </w:p>
        </w:tc>
      </w:tr>
      <w:tr w14:paraId="134F5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547CFC46">
            <w:pPr>
              <w:jc w:val="center"/>
              <w:rPr>
                <w:rFonts w:hint="eastAsia" w:ascii="宋体" w:hAnsi="宋体" w:eastAsia="宋体" w:cs="宋体"/>
                <w:sz w:val="22"/>
                <w:highlight w:val="none"/>
              </w:rPr>
            </w:pPr>
          </w:p>
        </w:tc>
        <w:tc>
          <w:tcPr>
            <w:tcW w:w="1115" w:type="dxa"/>
            <w:vAlign w:val="center"/>
          </w:tcPr>
          <w:p w14:paraId="12942F1D">
            <w:pPr>
              <w:jc w:val="center"/>
              <w:rPr>
                <w:rFonts w:hint="eastAsia" w:ascii="宋体" w:hAnsi="宋体" w:eastAsia="宋体" w:cs="宋体"/>
                <w:sz w:val="22"/>
                <w:highlight w:val="none"/>
              </w:rPr>
            </w:pPr>
          </w:p>
        </w:tc>
        <w:tc>
          <w:tcPr>
            <w:tcW w:w="2634" w:type="dxa"/>
            <w:vAlign w:val="center"/>
          </w:tcPr>
          <w:p w14:paraId="0E588107">
            <w:pPr>
              <w:jc w:val="center"/>
              <w:rPr>
                <w:rFonts w:hint="eastAsia" w:ascii="宋体" w:hAnsi="宋体" w:eastAsia="宋体" w:cs="宋体"/>
                <w:sz w:val="22"/>
                <w:highlight w:val="none"/>
              </w:rPr>
            </w:pPr>
          </w:p>
        </w:tc>
        <w:tc>
          <w:tcPr>
            <w:tcW w:w="1210" w:type="dxa"/>
            <w:gridSpan w:val="2"/>
            <w:vAlign w:val="center"/>
          </w:tcPr>
          <w:p w14:paraId="1689296B">
            <w:pPr>
              <w:jc w:val="center"/>
              <w:rPr>
                <w:rFonts w:hint="eastAsia" w:ascii="宋体" w:hAnsi="宋体" w:eastAsia="宋体" w:cs="宋体"/>
                <w:sz w:val="22"/>
                <w:highlight w:val="none"/>
              </w:rPr>
            </w:pPr>
          </w:p>
        </w:tc>
        <w:tc>
          <w:tcPr>
            <w:tcW w:w="2323" w:type="dxa"/>
            <w:vAlign w:val="center"/>
          </w:tcPr>
          <w:p w14:paraId="59FC191F">
            <w:pPr>
              <w:jc w:val="center"/>
              <w:rPr>
                <w:rFonts w:hint="eastAsia" w:ascii="宋体" w:hAnsi="宋体" w:eastAsia="宋体" w:cs="宋体"/>
                <w:sz w:val="22"/>
                <w:highlight w:val="none"/>
              </w:rPr>
            </w:pPr>
          </w:p>
        </w:tc>
        <w:tc>
          <w:tcPr>
            <w:tcW w:w="1147" w:type="dxa"/>
            <w:vAlign w:val="center"/>
          </w:tcPr>
          <w:p w14:paraId="00EEA3FE">
            <w:pPr>
              <w:jc w:val="center"/>
              <w:rPr>
                <w:rFonts w:hint="eastAsia" w:ascii="宋体" w:hAnsi="宋体" w:eastAsia="宋体" w:cs="宋体"/>
                <w:sz w:val="22"/>
                <w:highlight w:val="none"/>
              </w:rPr>
            </w:pPr>
          </w:p>
        </w:tc>
      </w:tr>
      <w:tr w14:paraId="487D5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66D52078">
            <w:pPr>
              <w:jc w:val="center"/>
              <w:rPr>
                <w:rFonts w:hint="eastAsia" w:ascii="宋体" w:hAnsi="宋体" w:eastAsia="宋体" w:cs="宋体"/>
                <w:sz w:val="22"/>
                <w:highlight w:val="none"/>
              </w:rPr>
            </w:pPr>
          </w:p>
        </w:tc>
        <w:tc>
          <w:tcPr>
            <w:tcW w:w="1115" w:type="dxa"/>
            <w:vAlign w:val="center"/>
          </w:tcPr>
          <w:p w14:paraId="06F67184">
            <w:pPr>
              <w:jc w:val="center"/>
              <w:rPr>
                <w:rFonts w:hint="eastAsia" w:ascii="宋体" w:hAnsi="宋体" w:eastAsia="宋体" w:cs="宋体"/>
                <w:sz w:val="22"/>
                <w:highlight w:val="none"/>
              </w:rPr>
            </w:pPr>
          </w:p>
        </w:tc>
        <w:tc>
          <w:tcPr>
            <w:tcW w:w="2634" w:type="dxa"/>
            <w:vAlign w:val="center"/>
          </w:tcPr>
          <w:p w14:paraId="519C3D52">
            <w:pPr>
              <w:jc w:val="center"/>
              <w:rPr>
                <w:rFonts w:hint="eastAsia" w:ascii="宋体" w:hAnsi="宋体" w:eastAsia="宋体" w:cs="宋体"/>
                <w:sz w:val="22"/>
                <w:highlight w:val="none"/>
              </w:rPr>
            </w:pPr>
          </w:p>
        </w:tc>
        <w:tc>
          <w:tcPr>
            <w:tcW w:w="1210" w:type="dxa"/>
            <w:gridSpan w:val="2"/>
            <w:vAlign w:val="center"/>
          </w:tcPr>
          <w:p w14:paraId="39BB5B27">
            <w:pPr>
              <w:jc w:val="center"/>
              <w:rPr>
                <w:rFonts w:hint="eastAsia" w:ascii="宋体" w:hAnsi="宋体" w:eastAsia="宋体" w:cs="宋体"/>
                <w:sz w:val="22"/>
                <w:highlight w:val="none"/>
              </w:rPr>
            </w:pPr>
          </w:p>
        </w:tc>
        <w:tc>
          <w:tcPr>
            <w:tcW w:w="2323" w:type="dxa"/>
            <w:vAlign w:val="center"/>
          </w:tcPr>
          <w:p w14:paraId="7C488F54">
            <w:pPr>
              <w:jc w:val="center"/>
              <w:rPr>
                <w:rFonts w:hint="eastAsia" w:ascii="宋体" w:hAnsi="宋体" w:eastAsia="宋体" w:cs="宋体"/>
                <w:sz w:val="22"/>
                <w:highlight w:val="none"/>
              </w:rPr>
            </w:pPr>
          </w:p>
        </w:tc>
        <w:tc>
          <w:tcPr>
            <w:tcW w:w="1147" w:type="dxa"/>
            <w:vAlign w:val="center"/>
          </w:tcPr>
          <w:p w14:paraId="001AC516">
            <w:pPr>
              <w:jc w:val="center"/>
              <w:rPr>
                <w:rFonts w:hint="eastAsia" w:ascii="宋体" w:hAnsi="宋体" w:eastAsia="宋体" w:cs="宋体"/>
                <w:sz w:val="22"/>
                <w:highlight w:val="none"/>
              </w:rPr>
            </w:pPr>
          </w:p>
        </w:tc>
      </w:tr>
      <w:tr w14:paraId="638A4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0535D4C6">
            <w:pPr>
              <w:jc w:val="center"/>
              <w:rPr>
                <w:rFonts w:hint="eastAsia" w:ascii="宋体" w:hAnsi="宋体" w:eastAsia="宋体" w:cs="宋体"/>
                <w:sz w:val="22"/>
                <w:highlight w:val="none"/>
              </w:rPr>
            </w:pPr>
          </w:p>
        </w:tc>
        <w:tc>
          <w:tcPr>
            <w:tcW w:w="1115" w:type="dxa"/>
            <w:vAlign w:val="center"/>
          </w:tcPr>
          <w:p w14:paraId="3BC4D811">
            <w:pPr>
              <w:jc w:val="center"/>
              <w:rPr>
                <w:rFonts w:hint="eastAsia" w:ascii="宋体" w:hAnsi="宋体" w:eastAsia="宋体" w:cs="宋体"/>
                <w:sz w:val="22"/>
                <w:highlight w:val="none"/>
              </w:rPr>
            </w:pPr>
          </w:p>
        </w:tc>
        <w:tc>
          <w:tcPr>
            <w:tcW w:w="2634" w:type="dxa"/>
            <w:vAlign w:val="center"/>
          </w:tcPr>
          <w:p w14:paraId="4A940413">
            <w:pPr>
              <w:jc w:val="center"/>
              <w:rPr>
                <w:rFonts w:hint="eastAsia" w:ascii="宋体" w:hAnsi="宋体" w:eastAsia="宋体" w:cs="宋体"/>
                <w:sz w:val="22"/>
                <w:highlight w:val="none"/>
              </w:rPr>
            </w:pPr>
          </w:p>
        </w:tc>
        <w:tc>
          <w:tcPr>
            <w:tcW w:w="1210" w:type="dxa"/>
            <w:gridSpan w:val="2"/>
            <w:vAlign w:val="center"/>
          </w:tcPr>
          <w:p w14:paraId="2DA0823E">
            <w:pPr>
              <w:jc w:val="center"/>
              <w:rPr>
                <w:rFonts w:hint="eastAsia" w:ascii="宋体" w:hAnsi="宋体" w:eastAsia="宋体" w:cs="宋体"/>
                <w:sz w:val="22"/>
                <w:highlight w:val="none"/>
              </w:rPr>
            </w:pPr>
          </w:p>
        </w:tc>
        <w:tc>
          <w:tcPr>
            <w:tcW w:w="2323" w:type="dxa"/>
            <w:vAlign w:val="center"/>
          </w:tcPr>
          <w:p w14:paraId="2EAAB549">
            <w:pPr>
              <w:jc w:val="center"/>
              <w:rPr>
                <w:rFonts w:hint="eastAsia" w:ascii="宋体" w:hAnsi="宋体" w:eastAsia="宋体" w:cs="宋体"/>
                <w:sz w:val="22"/>
                <w:highlight w:val="none"/>
              </w:rPr>
            </w:pPr>
          </w:p>
        </w:tc>
        <w:tc>
          <w:tcPr>
            <w:tcW w:w="1147" w:type="dxa"/>
            <w:vAlign w:val="center"/>
          </w:tcPr>
          <w:p w14:paraId="3CE64B27">
            <w:pPr>
              <w:jc w:val="center"/>
              <w:rPr>
                <w:rFonts w:hint="eastAsia" w:ascii="宋体" w:hAnsi="宋体" w:eastAsia="宋体" w:cs="宋体"/>
                <w:sz w:val="22"/>
                <w:highlight w:val="none"/>
              </w:rPr>
            </w:pPr>
          </w:p>
        </w:tc>
      </w:tr>
      <w:tr w14:paraId="570E9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6D65AA6F">
            <w:pPr>
              <w:jc w:val="center"/>
              <w:rPr>
                <w:rFonts w:hint="eastAsia" w:ascii="宋体" w:hAnsi="宋体" w:eastAsia="宋体" w:cs="宋体"/>
                <w:sz w:val="22"/>
                <w:highlight w:val="none"/>
              </w:rPr>
            </w:pPr>
          </w:p>
        </w:tc>
        <w:tc>
          <w:tcPr>
            <w:tcW w:w="1115" w:type="dxa"/>
            <w:vAlign w:val="center"/>
          </w:tcPr>
          <w:p w14:paraId="300D3C74">
            <w:pPr>
              <w:jc w:val="center"/>
              <w:rPr>
                <w:rFonts w:hint="eastAsia" w:ascii="宋体" w:hAnsi="宋体" w:eastAsia="宋体" w:cs="宋体"/>
                <w:sz w:val="22"/>
                <w:highlight w:val="none"/>
              </w:rPr>
            </w:pPr>
          </w:p>
        </w:tc>
        <w:tc>
          <w:tcPr>
            <w:tcW w:w="2634" w:type="dxa"/>
            <w:vAlign w:val="center"/>
          </w:tcPr>
          <w:p w14:paraId="616461E8">
            <w:pPr>
              <w:jc w:val="center"/>
              <w:rPr>
                <w:rFonts w:hint="eastAsia" w:ascii="宋体" w:hAnsi="宋体" w:eastAsia="宋体" w:cs="宋体"/>
                <w:sz w:val="22"/>
                <w:highlight w:val="none"/>
              </w:rPr>
            </w:pPr>
          </w:p>
        </w:tc>
        <w:tc>
          <w:tcPr>
            <w:tcW w:w="1210" w:type="dxa"/>
            <w:gridSpan w:val="2"/>
            <w:vAlign w:val="center"/>
          </w:tcPr>
          <w:p w14:paraId="353D05EC">
            <w:pPr>
              <w:jc w:val="center"/>
              <w:rPr>
                <w:rFonts w:hint="eastAsia" w:ascii="宋体" w:hAnsi="宋体" w:eastAsia="宋体" w:cs="宋体"/>
                <w:sz w:val="22"/>
                <w:highlight w:val="none"/>
              </w:rPr>
            </w:pPr>
          </w:p>
        </w:tc>
        <w:tc>
          <w:tcPr>
            <w:tcW w:w="2323" w:type="dxa"/>
            <w:vAlign w:val="center"/>
          </w:tcPr>
          <w:p w14:paraId="575C048F">
            <w:pPr>
              <w:jc w:val="center"/>
              <w:rPr>
                <w:rFonts w:hint="eastAsia" w:ascii="宋体" w:hAnsi="宋体" w:eastAsia="宋体" w:cs="宋体"/>
                <w:sz w:val="22"/>
                <w:highlight w:val="none"/>
              </w:rPr>
            </w:pPr>
          </w:p>
        </w:tc>
        <w:tc>
          <w:tcPr>
            <w:tcW w:w="1147" w:type="dxa"/>
            <w:vAlign w:val="center"/>
          </w:tcPr>
          <w:p w14:paraId="28D4068E">
            <w:pPr>
              <w:jc w:val="center"/>
              <w:rPr>
                <w:rFonts w:hint="eastAsia" w:ascii="宋体" w:hAnsi="宋体" w:eastAsia="宋体" w:cs="宋体"/>
                <w:sz w:val="22"/>
                <w:highlight w:val="none"/>
              </w:rPr>
            </w:pPr>
          </w:p>
        </w:tc>
      </w:tr>
      <w:tr w14:paraId="6DBDB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14:paraId="4ABB9989">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56BF5693">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14:paraId="38861360">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14:paraId="4ECC07C9">
            <w:pPr>
              <w:jc w:val="center"/>
              <w:rPr>
                <w:rFonts w:hint="eastAsia" w:ascii="宋体" w:hAnsi="宋体" w:eastAsia="宋体" w:cs="宋体"/>
                <w:sz w:val="22"/>
                <w:highlight w:val="none"/>
              </w:rPr>
            </w:pPr>
          </w:p>
        </w:tc>
      </w:tr>
      <w:tr w14:paraId="2622B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14:paraId="1F35BB29">
            <w:pPr>
              <w:jc w:val="center"/>
              <w:rPr>
                <w:rFonts w:hint="eastAsia" w:ascii="宋体" w:hAnsi="宋体" w:eastAsia="宋体" w:cs="宋体"/>
                <w:sz w:val="22"/>
                <w:highlight w:val="none"/>
              </w:rPr>
            </w:pPr>
          </w:p>
        </w:tc>
        <w:tc>
          <w:tcPr>
            <w:tcW w:w="1115" w:type="dxa"/>
            <w:vAlign w:val="center"/>
          </w:tcPr>
          <w:p w14:paraId="2FE1A554">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63F4BBBE">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96" w:type="dxa"/>
            <w:vAlign w:val="center"/>
          </w:tcPr>
          <w:p w14:paraId="25530459">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gridSpan w:val="2"/>
            <w:vAlign w:val="center"/>
          </w:tcPr>
          <w:p w14:paraId="23A1FCAE">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14:paraId="4D8ABC50">
            <w:pPr>
              <w:autoSpaceDE w:val="0"/>
              <w:autoSpaceDN w:val="0"/>
              <w:adjustRightInd w:val="0"/>
              <w:jc w:val="center"/>
              <w:rPr>
                <w:rFonts w:hint="eastAsia" w:ascii="宋体" w:hAnsi="宋体" w:eastAsia="宋体" w:cs="宋体"/>
                <w:sz w:val="22"/>
                <w:highlight w:val="none"/>
              </w:rPr>
            </w:pPr>
          </w:p>
        </w:tc>
      </w:tr>
      <w:tr w14:paraId="78ADB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43A5EB5B">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商  务  偏  离</w:t>
            </w:r>
          </w:p>
        </w:tc>
        <w:tc>
          <w:tcPr>
            <w:tcW w:w="1115" w:type="dxa"/>
            <w:vAlign w:val="center"/>
          </w:tcPr>
          <w:p w14:paraId="2DC27858">
            <w:pPr>
              <w:jc w:val="center"/>
              <w:rPr>
                <w:rFonts w:hint="eastAsia" w:ascii="宋体" w:hAnsi="宋体" w:eastAsia="宋体" w:cs="宋体"/>
                <w:sz w:val="22"/>
                <w:highlight w:val="none"/>
              </w:rPr>
            </w:pPr>
          </w:p>
        </w:tc>
        <w:tc>
          <w:tcPr>
            <w:tcW w:w="2634" w:type="dxa"/>
            <w:vAlign w:val="center"/>
          </w:tcPr>
          <w:p w14:paraId="138ADB54">
            <w:pPr>
              <w:jc w:val="center"/>
              <w:rPr>
                <w:rFonts w:hint="eastAsia" w:ascii="宋体" w:hAnsi="宋体" w:eastAsia="宋体" w:cs="宋体"/>
                <w:sz w:val="22"/>
                <w:highlight w:val="none"/>
              </w:rPr>
            </w:pPr>
          </w:p>
        </w:tc>
        <w:tc>
          <w:tcPr>
            <w:tcW w:w="1196" w:type="dxa"/>
            <w:vAlign w:val="center"/>
          </w:tcPr>
          <w:p w14:paraId="5CC350EB">
            <w:pPr>
              <w:jc w:val="center"/>
              <w:rPr>
                <w:rFonts w:hint="eastAsia" w:ascii="宋体" w:hAnsi="宋体" w:eastAsia="宋体" w:cs="宋体"/>
                <w:sz w:val="22"/>
                <w:highlight w:val="none"/>
              </w:rPr>
            </w:pPr>
          </w:p>
        </w:tc>
        <w:tc>
          <w:tcPr>
            <w:tcW w:w="2337" w:type="dxa"/>
            <w:gridSpan w:val="2"/>
            <w:vAlign w:val="center"/>
          </w:tcPr>
          <w:p w14:paraId="7151325D">
            <w:pPr>
              <w:jc w:val="center"/>
              <w:rPr>
                <w:rFonts w:hint="eastAsia" w:ascii="宋体" w:hAnsi="宋体" w:eastAsia="宋体" w:cs="宋体"/>
                <w:sz w:val="22"/>
                <w:highlight w:val="none"/>
              </w:rPr>
            </w:pPr>
          </w:p>
        </w:tc>
        <w:tc>
          <w:tcPr>
            <w:tcW w:w="1147" w:type="dxa"/>
            <w:vAlign w:val="center"/>
          </w:tcPr>
          <w:p w14:paraId="350D7779">
            <w:pPr>
              <w:jc w:val="center"/>
              <w:rPr>
                <w:rFonts w:hint="eastAsia" w:ascii="宋体" w:hAnsi="宋体" w:eastAsia="宋体" w:cs="宋体"/>
                <w:sz w:val="22"/>
                <w:highlight w:val="none"/>
              </w:rPr>
            </w:pPr>
          </w:p>
        </w:tc>
      </w:tr>
      <w:tr w14:paraId="4779E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exact"/>
          <w:jc w:val="center"/>
        </w:trPr>
        <w:tc>
          <w:tcPr>
            <w:tcW w:w="679" w:type="dxa"/>
            <w:vMerge w:val="continue"/>
            <w:vAlign w:val="center"/>
          </w:tcPr>
          <w:p w14:paraId="25BFF1DD">
            <w:pPr>
              <w:jc w:val="center"/>
              <w:rPr>
                <w:rFonts w:hint="eastAsia" w:ascii="宋体" w:hAnsi="宋体" w:eastAsia="宋体" w:cs="宋体"/>
                <w:sz w:val="22"/>
                <w:highlight w:val="none"/>
              </w:rPr>
            </w:pPr>
          </w:p>
        </w:tc>
        <w:tc>
          <w:tcPr>
            <w:tcW w:w="1115" w:type="dxa"/>
            <w:vAlign w:val="center"/>
          </w:tcPr>
          <w:p w14:paraId="2A3C0E4A">
            <w:pPr>
              <w:jc w:val="center"/>
              <w:rPr>
                <w:rFonts w:hint="eastAsia" w:ascii="宋体" w:hAnsi="宋体" w:eastAsia="宋体" w:cs="宋体"/>
                <w:sz w:val="22"/>
                <w:highlight w:val="none"/>
              </w:rPr>
            </w:pPr>
          </w:p>
        </w:tc>
        <w:tc>
          <w:tcPr>
            <w:tcW w:w="2634" w:type="dxa"/>
            <w:vAlign w:val="center"/>
          </w:tcPr>
          <w:p w14:paraId="2CDB819E">
            <w:pPr>
              <w:jc w:val="center"/>
              <w:rPr>
                <w:rFonts w:hint="eastAsia" w:ascii="宋体" w:hAnsi="宋体" w:eastAsia="宋体" w:cs="宋体"/>
                <w:sz w:val="22"/>
                <w:highlight w:val="none"/>
              </w:rPr>
            </w:pPr>
          </w:p>
        </w:tc>
        <w:tc>
          <w:tcPr>
            <w:tcW w:w="1196" w:type="dxa"/>
            <w:vAlign w:val="center"/>
          </w:tcPr>
          <w:p w14:paraId="34D79121">
            <w:pPr>
              <w:jc w:val="center"/>
              <w:rPr>
                <w:rFonts w:hint="eastAsia" w:ascii="宋体" w:hAnsi="宋体" w:eastAsia="宋体" w:cs="宋体"/>
                <w:sz w:val="22"/>
                <w:highlight w:val="none"/>
              </w:rPr>
            </w:pPr>
          </w:p>
        </w:tc>
        <w:tc>
          <w:tcPr>
            <w:tcW w:w="2337" w:type="dxa"/>
            <w:gridSpan w:val="2"/>
            <w:vAlign w:val="center"/>
          </w:tcPr>
          <w:p w14:paraId="1E197A43">
            <w:pPr>
              <w:jc w:val="center"/>
              <w:rPr>
                <w:rFonts w:hint="eastAsia" w:ascii="宋体" w:hAnsi="宋体" w:eastAsia="宋体" w:cs="宋体"/>
                <w:sz w:val="22"/>
                <w:highlight w:val="none"/>
              </w:rPr>
            </w:pPr>
          </w:p>
        </w:tc>
        <w:tc>
          <w:tcPr>
            <w:tcW w:w="1147" w:type="dxa"/>
            <w:vAlign w:val="center"/>
          </w:tcPr>
          <w:p w14:paraId="349897BC">
            <w:pPr>
              <w:jc w:val="center"/>
              <w:rPr>
                <w:rFonts w:hint="eastAsia" w:ascii="宋体" w:hAnsi="宋体" w:eastAsia="宋体" w:cs="宋体"/>
                <w:sz w:val="22"/>
                <w:highlight w:val="none"/>
              </w:rPr>
            </w:pPr>
          </w:p>
        </w:tc>
      </w:tr>
      <w:tr w14:paraId="58CF4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1B14A331">
            <w:pPr>
              <w:jc w:val="center"/>
              <w:rPr>
                <w:rFonts w:hint="eastAsia" w:ascii="宋体" w:hAnsi="宋体" w:eastAsia="宋体" w:cs="宋体"/>
                <w:sz w:val="22"/>
                <w:highlight w:val="none"/>
              </w:rPr>
            </w:pPr>
          </w:p>
        </w:tc>
        <w:tc>
          <w:tcPr>
            <w:tcW w:w="1115" w:type="dxa"/>
            <w:vAlign w:val="center"/>
          </w:tcPr>
          <w:p w14:paraId="22944D9B">
            <w:pPr>
              <w:jc w:val="center"/>
              <w:rPr>
                <w:rFonts w:hint="eastAsia" w:ascii="宋体" w:hAnsi="宋体" w:eastAsia="宋体" w:cs="宋体"/>
                <w:sz w:val="22"/>
                <w:highlight w:val="none"/>
              </w:rPr>
            </w:pPr>
          </w:p>
        </w:tc>
        <w:tc>
          <w:tcPr>
            <w:tcW w:w="2634" w:type="dxa"/>
            <w:vAlign w:val="center"/>
          </w:tcPr>
          <w:p w14:paraId="7EEADA12">
            <w:pPr>
              <w:jc w:val="center"/>
              <w:rPr>
                <w:rFonts w:hint="eastAsia" w:ascii="宋体" w:hAnsi="宋体" w:eastAsia="宋体" w:cs="宋体"/>
                <w:sz w:val="22"/>
                <w:highlight w:val="none"/>
              </w:rPr>
            </w:pPr>
          </w:p>
        </w:tc>
        <w:tc>
          <w:tcPr>
            <w:tcW w:w="1196" w:type="dxa"/>
            <w:vAlign w:val="center"/>
          </w:tcPr>
          <w:p w14:paraId="37737A15">
            <w:pPr>
              <w:jc w:val="center"/>
              <w:rPr>
                <w:rFonts w:hint="eastAsia" w:ascii="宋体" w:hAnsi="宋体" w:eastAsia="宋体" w:cs="宋体"/>
                <w:sz w:val="22"/>
                <w:highlight w:val="none"/>
              </w:rPr>
            </w:pPr>
          </w:p>
        </w:tc>
        <w:tc>
          <w:tcPr>
            <w:tcW w:w="2337" w:type="dxa"/>
            <w:gridSpan w:val="2"/>
            <w:vAlign w:val="center"/>
          </w:tcPr>
          <w:p w14:paraId="42272E3D">
            <w:pPr>
              <w:jc w:val="center"/>
              <w:rPr>
                <w:rFonts w:hint="eastAsia" w:ascii="宋体" w:hAnsi="宋体" w:eastAsia="宋体" w:cs="宋体"/>
                <w:sz w:val="22"/>
                <w:highlight w:val="none"/>
              </w:rPr>
            </w:pPr>
          </w:p>
        </w:tc>
        <w:tc>
          <w:tcPr>
            <w:tcW w:w="1147" w:type="dxa"/>
            <w:vAlign w:val="center"/>
          </w:tcPr>
          <w:p w14:paraId="3A4EB2BB">
            <w:pPr>
              <w:jc w:val="center"/>
              <w:rPr>
                <w:rFonts w:hint="eastAsia" w:ascii="宋体" w:hAnsi="宋体" w:eastAsia="宋体" w:cs="宋体"/>
                <w:sz w:val="22"/>
                <w:highlight w:val="none"/>
              </w:rPr>
            </w:pPr>
          </w:p>
        </w:tc>
      </w:tr>
      <w:tr w14:paraId="21F60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33DEC12">
            <w:pPr>
              <w:jc w:val="center"/>
              <w:rPr>
                <w:rFonts w:hint="eastAsia" w:ascii="宋体" w:hAnsi="宋体" w:eastAsia="宋体" w:cs="宋体"/>
                <w:sz w:val="22"/>
                <w:highlight w:val="none"/>
              </w:rPr>
            </w:pPr>
          </w:p>
        </w:tc>
        <w:tc>
          <w:tcPr>
            <w:tcW w:w="1115" w:type="dxa"/>
            <w:vAlign w:val="center"/>
          </w:tcPr>
          <w:p w14:paraId="701E363F">
            <w:pPr>
              <w:jc w:val="center"/>
              <w:rPr>
                <w:rFonts w:hint="eastAsia" w:ascii="宋体" w:hAnsi="宋体" w:eastAsia="宋体" w:cs="宋体"/>
                <w:sz w:val="22"/>
                <w:highlight w:val="none"/>
              </w:rPr>
            </w:pPr>
          </w:p>
        </w:tc>
        <w:tc>
          <w:tcPr>
            <w:tcW w:w="2634" w:type="dxa"/>
            <w:vAlign w:val="center"/>
          </w:tcPr>
          <w:p w14:paraId="0AEC9513">
            <w:pPr>
              <w:jc w:val="center"/>
              <w:rPr>
                <w:rFonts w:hint="eastAsia" w:ascii="宋体" w:hAnsi="宋体" w:eastAsia="宋体" w:cs="宋体"/>
                <w:sz w:val="22"/>
                <w:highlight w:val="none"/>
              </w:rPr>
            </w:pPr>
          </w:p>
        </w:tc>
        <w:tc>
          <w:tcPr>
            <w:tcW w:w="1196" w:type="dxa"/>
            <w:vAlign w:val="center"/>
          </w:tcPr>
          <w:p w14:paraId="213CB323">
            <w:pPr>
              <w:jc w:val="center"/>
              <w:rPr>
                <w:rFonts w:hint="eastAsia" w:ascii="宋体" w:hAnsi="宋体" w:eastAsia="宋体" w:cs="宋体"/>
                <w:sz w:val="22"/>
                <w:highlight w:val="none"/>
              </w:rPr>
            </w:pPr>
          </w:p>
        </w:tc>
        <w:tc>
          <w:tcPr>
            <w:tcW w:w="2337" w:type="dxa"/>
            <w:gridSpan w:val="2"/>
            <w:vAlign w:val="center"/>
          </w:tcPr>
          <w:p w14:paraId="4E8D2812">
            <w:pPr>
              <w:jc w:val="center"/>
              <w:rPr>
                <w:rFonts w:hint="eastAsia" w:ascii="宋体" w:hAnsi="宋体" w:eastAsia="宋体" w:cs="宋体"/>
                <w:sz w:val="22"/>
                <w:highlight w:val="none"/>
              </w:rPr>
            </w:pPr>
          </w:p>
        </w:tc>
        <w:tc>
          <w:tcPr>
            <w:tcW w:w="1147" w:type="dxa"/>
            <w:vAlign w:val="center"/>
          </w:tcPr>
          <w:p w14:paraId="71F378CD">
            <w:pPr>
              <w:jc w:val="center"/>
              <w:rPr>
                <w:rFonts w:hint="eastAsia" w:ascii="宋体" w:hAnsi="宋体" w:eastAsia="宋体" w:cs="宋体"/>
                <w:sz w:val="22"/>
                <w:highlight w:val="none"/>
              </w:rPr>
            </w:pPr>
          </w:p>
        </w:tc>
      </w:tr>
      <w:tr w14:paraId="5B1CD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119643F6">
            <w:pPr>
              <w:jc w:val="center"/>
              <w:rPr>
                <w:rFonts w:hint="eastAsia" w:ascii="宋体" w:hAnsi="宋体" w:eastAsia="宋体" w:cs="宋体"/>
                <w:sz w:val="22"/>
                <w:highlight w:val="none"/>
              </w:rPr>
            </w:pPr>
          </w:p>
        </w:tc>
        <w:tc>
          <w:tcPr>
            <w:tcW w:w="1115" w:type="dxa"/>
            <w:vAlign w:val="center"/>
          </w:tcPr>
          <w:p w14:paraId="7C4E4A68">
            <w:pPr>
              <w:jc w:val="center"/>
              <w:rPr>
                <w:rFonts w:hint="eastAsia" w:ascii="宋体" w:hAnsi="宋体" w:eastAsia="宋体" w:cs="宋体"/>
                <w:sz w:val="22"/>
                <w:highlight w:val="none"/>
              </w:rPr>
            </w:pPr>
          </w:p>
        </w:tc>
        <w:tc>
          <w:tcPr>
            <w:tcW w:w="2634" w:type="dxa"/>
            <w:vAlign w:val="center"/>
          </w:tcPr>
          <w:p w14:paraId="73151098">
            <w:pPr>
              <w:jc w:val="center"/>
              <w:rPr>
                <w:rFonts w:hint="eastAsia" w:ascii="宋体" w:hAnsi="宋体" w:eastAsia="宋体" w:cs="宋体"/>
                <w:sz w:val="22"/>
                <w:highlight w:val="none"/>
              </w:rPr>
            </w:pPr>
          </w:p>
        </w:tc>
        <w:tc>
          <w:tcPr>
            <w:tcW w:w="1196" w:type="dxa"/>
            <w:vAlign w:val="center"/>
          </w:tcPr>
          <w:p w14:paraId="146BEB22">
            <w:pPr>
              <w:jc w:val="center"/>
              <w:rPr>
                <w:rFonts w:hint="eastAsia" w:ascii="宋体" w:hAnsi="宋体" w:eastAsia="宋体" w:cs="宋体"/>
                <w:sz w:val="22"/>
                <w:highlight w:val="none"/>
              </w:rPr>
            </w:pPr>
          </w:p>
        </w:tc>
        <w:tc>
          <w:tcPr>
            <w:tcW w:w="2337" w:type="dxa"/>
            <w:gridSpan w:val="2"/>
            <w:vAlign w:val="center"/>
          </w:tcPr>
          <w:p w14:paraId="48A9B6CD">
            <w:pPr>
              <w:jc w:val="center"/>
              <w:rPr>
                <w:rFonts w:hint="eastAsia" w:ascii="宋体" w:hAnsi="宋体" w:eastAsia="宋体" w:cs="宋体"/>
                <w:sz w:val="22"/>
                <w:highlight w:val="none"/>
              </w:rPr>
            </w:pPr>
          </w:p>
        </w:tc>
        <w:tc>
          <w:tcPr>
            <w:tcW w:w="1147" w:type="dxa"/>
            <w:vAlign w:val="center"/>
          </w:tcPr>
          <w:p w14:paraId="1D9F5520">
            <w:pPr>
              <w:jc w:val="center"/>
              <w:rPr>
                <w:rFonts w:hint="eastAsia" w:ascii="宋体" w:hAnsi="宋体" w:eastAsia="宋体" w:cs="宋体"/>
                <w:sz w:val="22"/>
                <w:highlight w:val="none"/>
              </w:rPr>
            </w:pPr>
          </w:p>
        </w:tc>
      </w:tr>
      <w:tr w14:paraId="3488B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4DE8C7C6">
            <w:pPr>
              <w:jc w:val="center"/>
              <w:rPr>
                <w:rFonts w:hint="eastAsia" w:ascii="宋体" w:hAnsi="宋体" w:eastAsia="宋体" w:cs="宋体"/>
                <w:sz w:val="22"/>
                <w:highlight w:val="none"/>
              </w:rPr>
            </w:pPr>
          </w:p>
        </w:tc>
        <w:tc>
          <w:tcPr>
            <w:tcW w:w="1115" w:type="dxa"/>
            <w:vAlign w:val="center"/>
          </w:tcPr>
          <w:p w14:paraId="2E080E94">
            <w:pPr>
              <w:jc w:val="center"/>
              <w:rPr>
                <w:rFonts w:hint="eastAsia" w:ascii="宋体" w:hAnsi="宋体" w:eastAsia="宋体" w:cs="宋体"/>
                <w:sz w:val="22"/>
                <w:highlight w:val="none"/>
              </w:rPr>
            </w:pPr>
          </w:p>
        </w:tc>
        <w:tc>
          <w:tcPr>
            <w:tcW w:w="2634" w:type="dxa"/>
            <w:vAlign w:val="center"/>
          </w:tcPr>
          <w:p w14:paraId="0F2C0867">
            <w:pPr>
              <w:jc w:val="center"/>
              <w:rPr>
                <w:rFonts w:hint="eastAsia" w:ascii="宋体" w:hAnsi="宋体" w:eastAsia="宋体" w:cs="宋体"/>
                <w:sz w:val="22"/>
                <w:highlight w:val="none"/>
              </w:rPr>
            </w:pPr>
          </w:p>
        </w:tc>
        <w:tc>
          <w:tcPr>
            <w:tcW w:w="1196" w:type="dxa"/>
            <w:vAlign w:val="center"/>
          </w:tcPr>
          <w:p w14:paraId="73EEE152">
            <w:pPr>
              <w:jc w:val="center"/>
              <w:rPr>
                <w:rFonts w:hint="eastAsia" w:ascii="宋体" w:hAnsi="宋体" w:eastAsia="宋体" w:cs="宋体"/>
                <w:sz w:val="22"/>
                <w:highlight w:val="none"/>
              </w:rPr>
            </w:pPr>
          </w:p>
        </w:tc>
        <w:tc>
          <w:tcPr>
            <w:tcW w:w="2337" w:type="dxa"/>
            <w:gridSpan w:val="2"/>
            <w:vAlign w:val="center"/>
          </w:tcPr>
          <w:p w14:paraId="24545706">
            <w:pPr>
              <w:jc w:val="center"/>
              <w:rPr>
                <w:rFonts w:hint="eastAsia" w:ascii="宋体" w:hAnsi="宋体" w:eastAsia="宋体" w:cs="宋体"/>
                <w:sz w:val="22"/>
                <w:highlight w:val="none"/>
              </w:rPr>
            </w:pPr>
          </w:p>
        </w:tc>
        <w:tc>
          <w:tcPr>
            <w:tcW w:w="1147" w:type="dxa"/>
            <w:vAlign w:val="center"/>
          </w:tcPr>
          <w:p w14:paraId="77B986F1">
            <w:pPr>
              <w:jc w:val="center"/>
              <w:rPr>
                <w:rFonts w:hint="eastAsia" w:ascii="宋体" w:hAnsi="宋体" w:eastAsia="宋体" w:cs="宋体"/>
                <w:sz w:val="22"/>
                <w:highlight w:val="none"/>
              </w:rPr>
            </w:pPr>
          </w:p>
        </w:tc>
      </w:tr>
      <w:tr w14:paraId="59D4F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70A1D0E8">
            <w:pPr>
              <w:jc w:val="center"/>
              <w:rPr>
                <w:rFonts w:hint="eastAsia" w:ascii="宋体" w:hAnsi="宋体" w:eastAsia="宋体" w:cs="宋体"/>
                <w:sz w:val="22"/>
                <w:highlight w:val="none"/>
              </w:rPr>
            </w:pPr>
          </w:p>
        </w:tc>
        <w:tc>
          <w:tcPr>
            <w:tcW w:w="1115" w:type="dxa"/>
            <w:vAlign w:val="center"/>
          </w:tcPr>
          <w:p w14:paraId="54BBE078">
            <w:pPr>
              <w:jc w:val="center"/>
              <w:rPr>
                <w:rFonts w:hint="eastAsia" w:ascii="宋体" w:hAnsi="宋体" w:eastAsia="宋体" w:cs="宋体"/>
                <w:sz w:val="22"/>
                <w:highlight w:val="none"/>
              </w:rPr>
            </w:pPr>
          </w:p>
        </w:tc>
        <w:tc>
          <w:tcPr>
            <w:tcW w:w="2634" w:type="dxa"/>
            <w:vAlign w:val="center"/>
          </w:tcPr>
          <w:p w14:paraId="51D6622D">
            <w:pPr>
              <w:jc w:val="center"/>
              <w:rPr>
                <w:rFonts w:hint="eastAsia" w:ascii="宋体" w:hAnsi="宋体" w:eastAsia="宋体" w:cs="宋体"/>
                <w:sz w:val="22"/>
                <w:highlight w:val="none"/>
              </w:rPr>
            </w:pPr>
          </w:p>
        </w:tc>
        <w:tc>
          <w:tcPr>
            <w:tcW w:w="1196" w:type="dxa"/>
            <w:vAlign w:val="center"/>
          </w:tcPr>
          <w:p w14:paraId="51B790D6">
            <w:pPr>
              <w:jc w:val="center"/>
              <w:rPr>
                <w:rFonts w:hint="eastAsia" w:ascii="宋体" w:hAnsi="宋体" w:eastAsia="宋体" w:cs="宋体"/>
                <w:sz w:val="22"/>
                <w:highlight w:val="none"/>
              </w:rPr>
            </w:pPr>
          </w:p>
        </w:tc>
        <w:tc>
          <w:tcPr>
            <w:tcW w:w="2337" w:type="dxa"/>
            <w:gridSpan w:val="2"/>
            <w:vAlign w:val="center"/>
          </w:tcPr>
          <w:p w14:paraId="4F007CF9">
            <w:pPr>
              <w:jc w:val="center"/>
              <w:rPr>
                <w:rFonts w:hint="eastAsia" w:ascii="宋体" w:hAnsi="宋体" w:eastAsia="宋体" w:cs="宋体"/>
                <w:sz w:val="22"/>
                <w:highlight w:val="none"/>
              </w:rPr>
            </w:pPr>
          </w:p>
        </w:tc>
        <w:tc>
          <w:tcPr>
            <w:tcW w:w="1147" w:type="dxa"/>
            <w:vAlign w:val="center"/>
          </w:tcPr>
          <w:p w14:paraId="35CC226E">
            <w:pPr>
              <w:jc w:val="center"/>
              <w:rPr>
                <w:rFonts w:hint="eastAsia" w:ascii="宋体" w:hAnsi="宋体" w:eastAsia="宋体" w:cs="宋体"/>
                <w:sz w:val="22"/>
                <w:highlight w:val="none"/>
              </w:rPr>
            </w:pPr>
          </w:p>
        </w:tc>
      </w:tr>
    </w:tbl>
    <w:p w14:paraId="27FA642D">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14:paraId="59D15D67">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2、不填写此表视为完全响应采购文件</w:t>
      </w:r>
      <w:r>
        <w:rPr>
          <w:rFonts w:hint="eastAsia" w:ascii="宋体" w:hAnsi="宋体" w:eastAsia="宋体" w:cs="宋体"/>
          <w:szCs w:val="21"/>
          <w:highlight w:val="none"/>
          <w:lang w:val="en-US" w:eastAsia="zh-CN"/>
        </w:rPr>
        <w:t>的要求</w:t>
      </w:r>
      <w:r>
        <w:rPr>
          <w:rFonts w:hint="eastAsia" w:ascii="宋体" w:hAnsi="宋体" w:eastAsia="宋体" w:cs="宋体"/>
          <w:szCs w:val="21"/>
          <w:highlight w:val="none"/>
        </w:rPr>
        <w:t>。</w:t>
      </w:r>
    </w:p>
    <w:p w14:paraId="5BA25308">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rPr>
        <w:t>3、</w:t>
      </w:r>
      <w:r>
        <w:rPr>
          <w:rFonts w:hint="eastAsia" w:ascii="宋体" w:hAnsi="宋体" w:eastAsia="宋体" w:cs="宋体"/>
          <w:b/>
          <w:szCs w:val="21"/>
          <w:u w:val="single"/>
        </w:rPr>
        <w:t>▲如果投标文件其他地方描述与本表不一致，</w:t>
      </w:r>
      <w:r>
        <w:rPr>
          <w:rFonts w:hint="eastAsia" w:ascii="宋体" w:hAnsi="宋体" w:eastAsia="宋体" w:cs="宋体"/>
          <w:b/>
          <w:szCs w:val="21"/>
          <w:highlight w:val="none"/>
          <w:u w:val="single"/>
        </w:rPr>
        <w:t>签订合同时原则上以有利于采购人的解释为准。</w:t>
      </w:r>
    </w:p>
    <w:p w14:paraId="41419388">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lang w:val="en-US" w:eastAsia="zh-CN"/>
        </w:rPr>
        <w:t>4、</w:t>
      </w:r>
      <w:r>
        <w:rPr>
          <w:rFonts w:hint="eastAsia" w:ascii="宋体" w:hAnsi="宋体" w:eastAsia="宋体" w:cs="宋体"/>
          <w:b/>
          <w:szCs w:val="21"/>
          <w:highlight w:val="none"/>
          <w:u w:val="single"/>
        </w:rPr>
        <w:t>▲不提供“技术规格、商务条款偏离表”的投标文件将被视为未实质性响应采购文件。</w:t>
      </w:r>
    </w:p>
    <w:p w14:paraId="2AB1D764">
      <w:pPr>
        <w:spacing w:line="380" w:lineRule="exact"/>
        <w:ind w:firstLine="4417" w:firstLineChars="2000"/>
        <w:rPr>
          <w:rFonts w:hint="eastAsia" w:ascii="宋体" w:hAnsi="宋体" w:eastAsia="宋体" w:cs="宋体"/>
          <w:b/>
          <w:sz w:val="22"/>
          <w:highlight w:val="none"/>
        </w:rPr>
      </w:pPr>
    </w:p>
    <w:p w14:paraId="69144E38">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0660A683">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50C105B5">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09CF4D51">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14:paraId="13AD403A">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14:paraId="12E367AB">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授权书</w:t>
      </w:r>
    </w:p>
    <w:p w14:paraId="1EC89B4F">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14:paraId="1360DC68">
      <w:pPr>
        <w:spacing w:line="420" w:lineRule="exact"/>
        <w:rPr>
          <w:rFonts w:hint="eastAsia" w:ascii="宋体" w:hAnsi="宋体" w:eastAsia="宋体" w:cs="宋体"/>
          <w:sz w:val="22"/>
          <w:highlight w:val="none"/>
          <w:lang w:eastAsia="zh-CN"/>
        </w:rPr>
      </w:pPr>
    </w:p>
    <w:p w14:paraId="3347FE23">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14:paraId="07ACD209">
      <w:pPr>
        <w:spacing w:line="460" w:lineRule="exact"/>
        <w:rPr>
          <w:rFonts w:hint="eastAsia" w:ascii="宋体" w:hAnsi="宋体" w:eastAsia="宋体" w:cs="宋体"/>
          <w:sz w:val="22"/>
          <w:highlight w:val="none"/>
        </w:rPr>
      </w:pPr>
    </w:p>
    <w:p w14:paraId="6F8478FA">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14:paraId="2DE19990">
      <w:pPr>
        <w:spacing w:line="460" w:lineRule="exact"/>
        <w:ind w:firstLine="2955"/>
        <w:rPr>
          <w:rFonts w:hint="eastAsia" w:ascii="宋体" w:hAnsi="宋体" w:eastAsia="宋体" w:cs="宋体"/>
          <w:sz w:val="22"/>
          <w:highlight w:val="none"/>
        </w:rPr>
      </w:pPr>
    </w:p>
    <w:p w14:paraId="120DCC60">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 xml:space="preserve"> (签字或盖章)：</w:t>
      </w:r>
    </w:p>
    <w:p w14:paraId="33FCCD58">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14:paraId="67EEE767">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     年    月   日</w:t>
      </w:r>
    </w:p>
    <w:p w14:paraId="5D7225D4">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14:paraId="5C9FD698">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14:paraId="4D3CA55D">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14:paraId="16BF38DE">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14:paraId="06751BCF">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14:paraId="2739AE73">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14:paraId="5028DC0A">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14:paraId="67131B72">
      <w:pPr>
        <w:spacing w:line="460" w:lineRule="exact"/>
        <w:rPr>
          <w:rFonts w:hint="eastAsia" w:ascii="宋体" w:hAnsi="宋体" w:eastAsia="宋体" w:cs="宋体"/>
          <w:bCs/>
          <w:sz w:val="22"/>
          <w:highlight w:val="none"/>
        </w:rPr>
      </w:pPr>
    </w:p>
    <w:tbl>
      <w:tblPr>
        <w:tblStyle w:val="24"/>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3BB2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14:paraId="1B737EF9">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14:paraId="2E9E5A0C">
            <w:pPr>
              <w:spacing w:line="380" w:lineRule="exact"/>
              <w:jc w:val="center"/>
              <w:rPr>
                <w:rFonts w:hint="eastAsia" w:ascii="宋体" w:hAnsi="宋体" w:eastAsia="宋体" w:cs="宋体"/>
                <w:bCs/>
                <w:sz w:val="28"/>
                <w:szCs w:val="24"/>
                <w:highlight w:val="none"/>
              </w:rPr>
            </w:pPr>
          </w:p>
        </w:tc>
      </w:tr>
    </w:tbl>
    <w:p w14:paraId="56B5C92D">
      <w:pPr>
        <w:spacing w:line="400" w:lineRule="exact"/>
        <w:ind w:firstLine="140" w:firstLineChars="64"/>
        <w:rPr>
          <w:rFonts w:hint="eastAsia" w:ascii="宋体" w:hAnsi="宋体" w:eastAsia="宋体" w:cs="宋体"/>
          <w:sz w:val="22"/>
          <w:szCs w:val="24"/>
          <w:highlight w:val="none"/>
        </w:rPr>
      </w:pPr>
    </w:p>
    <w:p w14:paraId="6A5C7F22">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lang w:eastAsia="zh-CN"/>
        </w:rPr>
        <w:t>法定代表人</w:t>
      </w:r>
      <w:r>
        <w:rPr>
          <w:rFonts w:hint="eastAsia" w:ascii="宋体" w:hAnsi="宋体" w:eastAsia="宋体" w:cs="宋体"/>
          <w:bCs/>
          <w:kern w:val="0"/>
          <w:sz w:val="32"/>
          <w:szCs w:val="32"/>
          <w:highlight w:val="none"/>
        </w:rPr>
        <w:t>资格证明书</w:t>
      </w:r>
    </w:p>
    <w:p w14:paraId="224455D4">
      <w:pPr>
        <w:widowControl/>
        <w:spacing w:line="480" w:lineRule="atLeast"/>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（如</w:t>
      </w:r>
      <w:r>
        <w:rPr>
          <w:rFonts w:hint="eastAsia" w:ascii="宋体" w:hAnsi="宋体" w:eastAsia="宋体" w:cs="宋体"/>
          <w:bCs/>
          <w:kern w:val="0"/>
          <w:sz w:val="28"/>
          <w:szCs w:val="28"/>
          <w:highlight w:val="none"/>
          <w:lang w:eastAsia="zh-CN"/>
        </w:rPr>
        <w:t>法定代表人</w:t>
      </w:r>
      <w:r>
        <w:rPr>
          <w:rFonts w:hint="eastAsia" w:ascii="宋体" w:hAnsi="宋体" w:eastAsia="宋体" w:cs="宋体"/>
          <w:bCs/>
          <w:kern w:val="0"/>
          <w:sz w:val="28"/>
          <w:szCs w:val="28"/>
          <w:highlight w:val="none"/>
        </w:rPr>
        <w:t>参加投标时提供）</w:t>
      </w:r>
    </w:p>
    <w:p w14:paraId="394967F5">
      <w:pPr>
        <w:widowControl/>
        <w:spacing w:line="360" w:lineRule="auto"/>
        <w:rPr>
          <w:rFonts w:hint="eastAsia" w:ascii="宋体" w:hAnsi="宋体" w:eastAsia="宋体" w:cs="宋体"/>
          <w:sz w:val="24"/>
          <w:szCs w:val="24"/>
          <w:highlight w:val="none"/>
          <w:u w:val="single"/>
        </w:rPr>
      </w:pPr>
    </w:p>
    <w:p w14:paraId="1466EF09">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14:paraId="52569CCE">
      <w:pPr>
        <w:widowControl/>
        <w:spacing w:line="360" w:lineRule="auto"/>
        <w:ind w:left="420" w:firstLine="473"/>
        <w:jc w:val="left"/>
        <w:rPr>
          <w:rFonts w:hint="eastAsia" w:ascii="宋体" w:hAnsi="宋体" w:eastAsia="宋体" w:cs="宋体"/>
          <w:kern w:val="0"/>
          <w:sz w:val="24"/>
          <w:szCs w:val="24"/>
          <w:highlight w:val="none"/>
        </w:rPr>
      </w:pPr>
    </w:p>
    <w:p w14:paraId="14D37640">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14:paraId="5C0C7D32">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14:paraId="16001F6D">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14:paraId="6D381FD7">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。为你单位组织的采购编号为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14:paraId="10976546">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14:paraId="54F6CD0F">
      <w:pPr>
        <w:widowControl/>
        <w:spacing w:line="360" w:lineRule="auto"/>
        <w:ind w:left="-540" w:firstLine="540"/>
        <w:jc w:val="center"/>
        <w:rPr>
          <w:rFonts w:hint="eastAsia" w:ascii="宋体" w:hAnsi="宋体" w:eastAsia="宋体" w:cs="宋体"/>
          <w:b/>
          <w:bCs/>
          <w:kern w:val="0"/>
          <w:sz w:val="24"/>
          <w:szCs w:val="24"/>
          <w:highlight w:val="none"/>
        </w:rPr>
      </w:pPr>
    </w:p>
    <w:p w14:paraId="62596363">
      <w:pPr>
        <w:widowControl/>
        <w:spacing w:line="360" w:lineRule="auto"/>
        <w:ind w:left="-540" w:firstLine="540"/>
        <w:jc w:val="center"/>
        <w:rPr>
          <w:rFonts w:hint="eastAsia" w:ascii="宋体" w:hAnsi="宋体" w:eastAsia="宋体" w:cs="宋体"/>
          <w:b/>
          <w:bCs/>
          <w:kern w:val="0"/>
          <w:sz w:val="24"/>
          <w:szCs w:val="24"/>
          <w:highlight w:val="none"/>
        </w:rPr>
      </w:pPr>
    </w:p>
    <w:p w14:paraId="5BC207E4">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身份证复印件※）</w:t>
      </w:r>
    </w:p>
    <w:p w14:paraId="68E8DBF2">
      <w:pPr>
        <w:widowControl/>
        <w:spacing w:line="480" w:lineRule="auto"/>
        <w:ind w:left="420" w:firstLine="473"/>
        <w:jc w:val="left"/>
        <w:rPr>
          <w:rFonts w:hint="eastAsia" w:ascii="宋体" w:hAnsi="宋体" w:eastAsia="宋体" w:cs="宋体"/>
          <w:kern w:val="0"/>
          <w:sz w:val="24"/>
          <w:szCs w:val="24"/>
          <w:highlight w:val="none"/>
        </w:rPr>
      </w:pPr>
    </w:p>
    <w:p w14:paraId="54A80490">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14:paraId="20D28AC9">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14:paraId="536362D1">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14:paraId="3E39AC0F">
      <w:pPr>
        <w:widowControl/>
        <w:rPr>
          <w:rFonts w:hint="eastAsia" w:ascii="宋体" w:hAnsi="宋体" w:eastAsia="宋体" w:cs="宋体"/>
          <w:kern w:val="0"/>
          <w:szCs w:val="21"/>
          <w:highlight w:val="none"/>
        </w:rPr>
      </w:pPr>
    </w:p>
    <w:p w14:paraId="28908731">
      <w:pPr>
        <w:widowControl/>
        <w:rPr>
          <w:rFonts w:hint="eastAsia" w:ascii="宋体" w:hAnsi="宋体" w:eastAsia="宋体" w:cs="宋体"/>
          <w:kern w:val="0"/>
          <w:szCs w:val="21"/>
          <w:highlight w:val="none"/>
        </w:rPr>
      </w:pPr>
    </w:p>
    <w:p w14:paraId="40431123">
      <w:pPr>
        <w:widowControl/>
        <w:spacing w:line="480" w:lineRule="atLeast"/>
        <w:jc w:val="center"/>
        <w:rPr>
          <w:rFonts w:hint="eastAsia" w:ascii="宋体" w:hAnsi="宋体" w:eastAsia="宋体" w:cs="宋体"/>
          <w:b/>
          <w:bCs/>
          <w:kern w:val="0"/>
          <w:sz w:val="24"/>
          <w:szCs w:val="24"/>
          <w:highlight w:val="none"/>
        </w:rPr>
      </w:pPr>
    </w:p>
    <w:p w14:paraId="7C7D8647">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参加本采购项目投标的，仅须提供此证明书。</w:t>
      </w:r>
    </w:p>
    <w:p w14:paraId="14709D0F">
      <w:pPr>
        <w:spacing w:line="460" w:lineRule="exact"/>
        <w:jc w:val="center"/>
        <w:rPr>
          <w:rFonts w:hint="eastAsia" w:ascii="宋体" w:hAnsi="宋体" w:eastAsia="宋体" w:cs="宋体"/>
          <w:b/>
          <w:bCs/>
          <w:kern w:val="0"/>
          <w:sz w:val="24"/>
          <w:szCs w:val="24"/>
          <w:highlight w:val="none"/>
        </w:rPr>
      </w:pPr>
    </w:p>
    <w:p w14:paraId="2CD75ACE">
      <w:pPr>
        <w:spacing w:line="460" w:lineRule="exact"/>
        <w:jc w:val="center"/>
        <w:rPr>
          <w:rFonts w:hint="eastAsia" w:ascii="宋体" w:hAnsi="宋体" w:eastAsia="宋体" w:cs="宋体"/>
          <w:b/>
          <w:bCs/>
          <w:kern w:val="0"/>
          <w:sz w:val="24"/>
          <w:szCs w:val="24"/>
          <w:highlight w:val="none"/>
        </w:rPr>
      </w:pPr>
    </w:p>
    <w:p w14:paraId="4D80FE42">
      <w:pPr>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4"/>
          <w:szCs w:val="24"/>
          <w:highlight w:val="none"/>
        </w:rPr>
        <w:t>（2）投标供应商企业法人有效营业执照（或法人登记证书）复印件加盖单位公章</w:t>
      </w:r>
    </w:p>
    <w:p w14:paraId="540659AC">
      <w:pPr>
        <w:rPr>
          <w:rFonts w:hint="eastAsia" w:ascii="宋体" w:hAnsi="宋体" w:eastAsia="宋体" w:cs="宋体"/>
          <w:b/>
          <w:bCs/>
          <w:sz w:val="24"/>
          <w:szCs w:val="24"/>
          <w:highlight w:val="none"/>
        </w:rPr>
      </w:pPr>
    </w:p>
    <w:p w14:paraId="23E3CB2D">
      <w:pPr>
        <w:snapToGrid w:val="0"/>
        <w:spacing w:before="50" w:after="120" w:afterLines="50"/>
        <w:jc w:val="left"/>
        <w:rPr>
          <w:rFonts w:hint="eastAsia" w:ascii="宋体" w:hAnsi="宋体" w:eastAsia="宋体" w:cs="宋体"/>
          <w:b/>
          <w:sz w:val="24"/>
          <w:szCs w:val="24"/>
          <w:highlight w:val="none"/>
        </w:rPr>
      </w:pPr>
    </w:p>
    <w:p w14:paraId="134F7917">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以上证书若为复印件，须加盖投标人单位公章</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14:paraId="6E3FB511">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3</w:t>
      </w:r>
      <w:r>
        <w:rPr>
          <w:rFonts w:hint="eastAsia" w:ascii="宋体" w:hAnsi="宋体" w:eastAsia="宋体" w:cs="宋体"/>
          <w:b/>
          <w:sz w:val="30"/>
          <w:szCs w:val="24"/>
          <w:highlight w:val="none"/>
        </w:rPr>
        <w:t>）投标声明书</w:t>
      </w:r>
    </w:p>
    <w:p w14:paraId="1AC234F0">
      <w:pPr>
        <w:snapToGrid w:val="0"/>
        <w:spacing w:before="120" w:beforeLines="50" w:after="50"/>
        <w:rPr>
          <w:rFonts w:hint="eastAsia" w:ascii="宋体" w:hAnsi="宋体" w:eastAsia="宋体" w:cs="宋体"/>
          <w:sz w:val="22"/>
          <w:highlight w:val="none"/>
        </w:rPr>
      </w:pPr>
    </w:p>
    <w:p w14:paraId="5CCD0F5A">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致：温州市高速公路资产经营有限公司：</w:t>
      </w:r>
    </w:p>
    <w:p w14:paraId="4B223213">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1934AF1C">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，我方愿意参加贵方组织的</w:t>
      </w:r>
      <w:r>
        <w:rPr>
          <w:rFonts w:hint="eastAsia" w:ascii="宋体" w:hAnsi="宋体" w:eastAsia="宋体" w:cs="宋体"/>
          <w:sz w:val="22"/>
          <w:highlight w:val="none"/>
          <w:u w:val="single"/>
        </w:rPr>
        <w:t xml:space="preserve">   （项目名称、项目编号）     </w:t>
      </w:r>
      <w:r>
        <w:rPr>
          <w:rFonts w:hint="eastAsia" w:ascii="宋体" w:hAnsi="宋体" w:eastAsia="宋体" w:cs="宋体"/>
          <w:sz w:val="22"/>
          <w:highlight w:val="none"/>
        </w:rPr>
        <w:t>项目的投标，为便于贵方公正、择优地确定中标人及其投标服务，我方就参加本次投标有关事项郑重声明如下：</w:t>
      </w:r>
    </w:p>
    <w:p w14:paraId="328D68C3">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1.本投标有效期自开标日起 ______日。</w:t>
      </w:r>
    </w:p>
    <w:p w14:paraId="7114449C">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14:paraId="5B3F1A59">
      <w:pPr>
        <w:snapToGrid w:val="0"/>
        <w:spacing w:before="120" w:line="320" w:lineRule="exact"/>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3.我方不是采购人的附属机构</w:t>
      </w:r>
      <w:r>
        <w:rPr>
          <w:rFonts w:hint="eastAsia" w:ascii="宋体" w:hAnsi="宋体" w:eastAsia="宋体" w:cs="宋体"/>
          <w:sz w:val="22"/>
          <w:highlight w:val="none"/>
          <w:lang w:eastAsia="zh-CN"/>
        </w:rPr>
        <w:t>。</w:t>
      </w:r>
    </w:p>
    <w:p w14:paraId="76EA9CFE">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rPr>
        <w:t>4.我方</w:t>
      </w:r>
      <w:r>
        <w:rPr>
          <w:rFonts w:hint="eastAsia" w:ascii="宋体" w:hAnsi="宋体" w:eastAsia="宋体" w:cs="宋体"/>
          <w:sz w:val="22"/>
          <w:highlight w:val="none"/>
          <w:lang w:val="en-US" w:eastAsia="zh-CN"/>
        </w:rPr>
        <w:t>未</w:t>
      </w:r>
      <w:r>
        <w:rPr>
          <w:rFonts w:hint="eastAsia" w:ascii="宋体" w:hAnsi="宋体" w:eastAsia="宋体" w:cs="宋体"/>
          <w:sz w:val="22"/>
          <w:highlight w:val="none"/>
        </w:rPr>
        <w:t>参加</w:t>
      </w:r>
      <w:r>
        <w:rPr>
          <w:rFonts w:hint="eastAsia" w:ascii="宋体" w:hAnsi="宋体" w:eastAsia="宋体" w:cs="宋体"/>
          <w:sz w:val="22"/>
          <w:highlight w:val="none"/>
          <w:lang w:val="en-US" w:eastAsia="zh-CN"/>
        </w:rPr>
        <w:t>过</w:t>
      </w:r>
      <w:r>
        <w:rPr>
          <w:rFonts w:hint="eastAsia" w:ascii="宋体" w:hAnsi="宋体" w:eastAsia="宋体" w:cs="宋体"/>
          <w:sz w:val="22"/>
          <w:highlight w:val="none"/>
        </w:rPr>
        <w:t>本采购项目的整体设计、规范编制或者项目管理、监理、检测等服务</w:t>
      </w:r>
      <w:r>
        <w:rPr>
          <w:rFonts w:hint="eastAsia" w:ascii="宋体" w:hAnsi="宋体" w:eastAsia="宋体" w:cs="宋体"/>
          <w:sz w:val="22"/>
          <w:highlight w:val="none"/>
          <w:lang w:val="en-US" w:eastAsia="zh-CN"/>
        </w:rPr>
        <w:t>工作。</w:t>
      </w:r>
    </w:p>
    <w:p w14:paraId="2F03FA07">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14:paraId="765161AA">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57E01F6D">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14:paraId="16D02000">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14:paraId="1216BF0E">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14:paraId="5A4DAB50">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2EF30AD4">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14:paraId="0D9275EC">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04AC5BF6">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至本项目投标截止前，我方被列入“信用中国”网站(www.creditchina.gov.cn)“记录失信被执行人或重大税收违法案件当事人名单”记录名单情况：</w:t>
      </w:r>
    </w:p>
    <w:p w14:paraId="50359296">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14:paraId="2B86A23E">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独立承担民事责任的能力、具有良好的商业信誉和健全的财务会计制度，具有依法缴纳税收和社会保障资金的良好记录，具有履行本项目合同所必需设备和专业技术能力、售后保障等能力。如有虚假，采购人可取消我方任何资格（投标/中标/签订合同），我方对此无任何异议</w:t>
      </w:r>
      <w:r>
        <w:rPr>
          <w:rFonts w:hint="eastAsia" w:ascii="宋体" w:hAnsi="宋体" w:eastAsia="宋体" w:cs="宋体"/>
          <w:sz w:val="22"/>
          <w:szCs w:val="22"/>
        </w:rPr>
        <w:t>。</w:t>
      </w:r>
    </w:p>
    <w:p w14:paraId="32E4D01D">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14:paraId="23F38E2A">
      <w:pPr>
        <w:snapToGrid w:val="0"/>
        <w:spacing w:before="120" w:beforeLines="50"/>
        <w:ind w:firstLine="200"/>
        <w:rPr>
          <w:rFonts w:hint="eastAsia" w:ascii="宋体" w:hAnsi="宋体" w:eastAsia="宋体" w:cs="宋体"/>
          <w:sz w:val="18"/>
          <w:szCs w:val="18"/>
          <w:highlight w:val="none"/>
        </w:rPr>
      </w:pPr>
    </w:p>
    <w:p w14:paraId="44421B10">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14:paraId="501C4798">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14:paraId="240DB733">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rPr>
        <w:t>年    月    日</w:t>
      </w:r>
    </w:p>
    <w:p w14:paraId="7EE7D3B6">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481DEA11">
      <w:pPr>
        <w:pStyle w:val="23"/>
        <w:ind w:left="0" w:firstLine="0" w:firstLineChars="0"/>
        <w:rPr>
          <w:rFonts w:hint="eastAsia" w:ascii="宋体" w:hAnsi="宋体" w:eastAsia="宋体" w:cs="宋体"/>
          <w:sz w:val="22"/>
          <w:highlight w:val="none"/>
        </w:rPr>
      </w:pPr>
      <w:r>
        <w:rPr>
          <w:rFonts w:hint="eastAsia" w:ascii="宋体" w:hAnsi="宋体" w:eastAsia="宋体" w:cs="宋体"/>
          <w:sz w:val="22"/>
          <w:highlight w:val="none"/>
        </w:rPr>
        <w:t>附件五</w:t>
      </w:r>
    </w:p>
    <w:p w14:paraId="158738EA">
      <w:pPr>
        <w:pStyle w:val="9"/>
        <w:ind w:firstLine="0" w:firstLineChars="0"/>
        <w:rPr>
          <w:rFonts w:hint="eastAsia" w:ascii="宋体" w:hAnsi="宋体" w:eastAsia="宋体" w:cs="宋体"/>
          <w:b/>
          <w:bCs/>
          <w:sz w:val="28"/>
          <w:szCs w:val="28"/>
          <w:highlight w:val="none"/>
        </w:rPr>
      </w:pPr>
    </w:p>
    <w:p w14:paraId="20609E27">
      <w:pPr>
        <w:spacing w:line="400" w:lineRule="exact"/>
        <w:jc w:val="center"/>
        <w:rPr>
          <w:rFonts w:hint="eastAsia" w:ascii="宋体" w:hAnsi="宋体" w:eastAsia="宋体" w:cs="宋体"/>
          <w:b/>
          <w:color w:val="auto"/>
          <w:sz w:val="24"/>
          <w:highlight w:val="none"/>
          <w:lang w:val="en-US" w:eastAsia="zh-CN"/>
        </w:rPr>
      </w:pPr>
      <w:bookmarkStart w:id="194" w:name="_Toc480556784"/>
      <w:r>
        <w:rPr>
          <w:rFonts w:hint="eastAsia" w:ascii="宋体" w:hAnsi="宋体" w:eastAsia="宋体" w:cs="宋体"/>
          <w:b/>
          <w:color w:val="auto"/>
          <w:sz w:val="24"/>
          <w:highlight w:val="none"/>
          <w:lang w:val="en-US" w:eastAsia="zh-CN"/>
        </w:rPr>
        <w:t>供应商简介</w:t>
      </w:r>
    </w:p>
    <w:p w14:paraId="60F5C9AA">
      <w:pPr>
        <w:pStyle w:val="8"/>
        <w:adjustRightInd w:val="0"/>
        <w:snapToGrid w:val="0"/>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   名称及概况：</w:t>
      </w:r>
    </w:p>
    <w:p w14:paraId="2D7F0900">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（1）投标人名称：</w:t>
      </w:r>
      <w:r>
        <w:rPr>
          <w:rFonts w:hint="eastAsia" w:ascii="宋体" w:hAnsi="宋体" w:eastAsia="宋体" w:cs="宋体"/>
          <w:color w:val="auto"/>
          <w:sz w:val="22"/>
          <w:szCs w:val="22"/>
          <w:highlight w:val="none"/>
          <w:u w:val="single"/>
        </w:rPr>
        <w:t xml:space="preserve">                             </w:t>
      </w:r>
    </w:p>
    <w:p w14:paraId="1E594968">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（2）地址：</w:t>
      </w:r>
      <w:r>
        <w:rPr>
          <w:rFonts w:hint="eastAsia" w:ascii="宋体" w:hAnsi="宋体" w:eastAsia="宋体" w:cs="宋体"/>
          <w:color w:val="auto"/>
          <w:sz w:val="22"/>
          <w:szCs w:val="22"/>
          <w:highlight w:val="none"/>
          <w:u w:val="single"/>
        </w:rPr>
        <w:t xml:space="preserve">                                   </w:t>
      </w:r>
    </w:p>
    <w:p w14:paraId="1826324D">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传真/电话号码：</w:t>
      </w:r>
      <w:r>
        <w:rPr>
          <w:rFonts w:hint="eastAsia" w:ascii="宋体" w:hAnsi="宋体" w:eastAsia="宋体" w:cs="宋体"/>
          <w:color w:val="auto"/>
          <w:sz w:val="22"/>
          <w:szCs w:val="22"/>
          <w:highlight w:val="none"/>
          <w:u w:val="single"/>
        </w:rPr>
        <w:t xml:space="preserve">                          </w:t>
      </w:r>
    </w:p>
    <w:p w14:paraId="49B90A53">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（3）成立和/或注册日期：</w:t>
      </w:r>
      <w:r>
        <w:rPr>
          <w:rFonts w:hint="eastAsia" w:ascii="宋体" w:hAnsi="宋体" w:eastAsia="宋体" w:cs="宋体"/>
          <w:color w:val="auto"/>
          <w:sz w:val="22"/>
          <w:szCs w:val="22"/>
          <w:highlight w:val="none"/>
          <w:u w:val="single"/>
        </w:rPr>
        <w:t xml:space="preserve">                      </w:t>
      </w:r>
    </w:p>
    <w:p w14:paraId="2212B497">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（4）实收资本：</w:t>
      </w:r>
      <w:r>
        <w:rPr>
          <w:rFonts w:hint="eastAsia" w:ascii="宋体" w:hAnsi="宋体" w:eastAsia="宋体" w:cs="宋体"/>
          <w:color w:val="auto"/>
          <w:sz w:val="22"/>
          <w:szCs w:val="22"/>
          <w:highlight w:val="none"/>
          <w:u w:val="single"/>
        </w:rPr>
        <w:t xml:space="preserve">                               </w:t>
      </w:r>
    </w:p>
    <w:p w14:paraId="5DC08D94">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（5）近期资产负债表（截止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11549DB4">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a）固定资产：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b）流动资产：</w:t>
      </w:r>
      <w:r>
        <w:rPr>
          <w:rFonts w:hint="eastAsia" w:ascii="宋体" w:hAnsi="宋体" w:eastAsia="宋体" w:cs="宋体"/>
          <w:color w:val="auto"/>
          <w:sz w:val="22"/>
          <w:szCs w:val="22"/>
          <w:highlight w:val="none"/>
          <w:u w:val="single"/>
        </w:rPr>
        <w:t xml:space="preserve">                 </w:t>
      </w:r>
    </w:p>
    <w:p w14:paraId="5AD38EC6">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c）长期负债：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d）流动负债：</w:t>
      </w:r>
      <w:r>
        <w:rPr>
          <w:rFonts w:hint="eastAsia" w:ascii="宋体" w:hAnsi="宋体" w:eastAsia="宋体" w:cs="宋体"/>
          <w:color w:val="auto"/>
          <w:sz w:val="22"/>
          <w:szCs w:val="22"/>
          <w:highlight w:val="none"/>
          <w:u w:val="single"/>
        </w:rPr>
        <w:t xml:space="preserve">                 </w:t>
      </w:r>
    </w:p>
    <w:p w14:paraId="1587AAF5">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e）净值：</w:t>
      </w:r>
      <w:r>
        <w:rPr>
          <w:rFonts w:hint="eastAsia" w:ascii="宋体" w:hAnsi="宋体" w:eastAsia="宋体" w:cs="宋体"/>
          <w:color w:val="auto"/>
          <w:sz w:val="22"/>
          <w:szCs w:val="22"/>
          <w:highlight w:val="none"/>
          <w:u w:val="single"/>
        </w:rPr>
        <w:t xml:space="preserve">                     </w:t>
      </w:r>
    </w:p>
    <w:p w14:paraId="4A07F105">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（6）主要负责人姓名：</w:t>
      </w:r>
      <w:r>
        <w:rPr>
          <w:rFonts w:hint="eastAsia" w:ascii="宋体" w:hAnsi="宋体" w:eastAsia="宋体" w:cs="宋体"/>
          <w:color w:val="auto"/>
          <w:sz w:val="22"/>
          <w:szCs w:val="22"/>
          <w:highlight w:val="none"/>
          <w:u w:val="single"/>
        </w:rPr>
        <w:t xml:space="preserve">                         </w:t>
      </w:r>
    </w:p>
    <w:p w14:paraId="2E14D56B">
      <w:pPr>
        <w:spacing w:line="360" w:lineRule="exact"/>
        <w:ind w:left="663" w:hanging="663" w:hangingChars="3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 设施及其它情况：</w:t>
      </w:r>
    </w:p>
    <w:p w14:paraId="2AE1D499">
      <w:pPr>
        <w:spacing w:line="400" w:lineRule="exact"/>
        <w:rPr>
          <w:rFonts w:hint="eastAsia" w:ascii="宋体" w:hAnsi="宋体" w:eastAsia="宋体" w:cs="宋体"/>
          <w:color w:val="auto"/>
          <w:sz w:val="22"/>
          <w:highlight w:val="none"/>
        </w:rPr>
      </w:pPr>
    </w:p>
    <w:p w14:paraId="26F00552">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拥有的服务设备</w:t>
      </w:r>
      <w:r>
        <w:rPr>
          <w:rFonts w:hint="eastAsia" w:ascii="宋体" w:hAnsi="宋体" w:eastAsia="宋体" w:cs="宋体"/>
          <w:color w:val="auto"/>
          <w:sz w:val="22"/>
          <w:highlight w:val="none"/>
        </w:rPr>
        <w:t xml:space="preserve">设施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14:paraId="1B681C28">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人，其中持证上岗的人数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14:paraId="41285EDB">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专业人员构成</w:t>
      </w:r>
      <w:r>
        <w:rPr>
          <w:rFonts w:hint="eastAsia" w:ascii="宋体" w:hAnsi="宋体" w:eastAsia="宋体" w:cs="宋体"/>
          <w:color w:val="auto"/>
          <w:sz w:val="22"/>
          <w:highlight w:val="none"/>
          <w:u w:val="single"/>
        </w:rPr>
        <w:t xml:space="preserve">                                            </w:t>
      </w:r>
    </w:p>
    <w:p w14:paraId="3506A3BC">
      <w:pPr>
        <w:spacing w:line="40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通过有关认证</w:t>
      </w:r>
      <w:r>
        <w:rPr>
          <w:rFonts w:hint="eastAsia" w:ascii="宋体" w:hAnsi="宋体" w:eastAsia="宋体" w:cs="宋体"/>
          <w:color w:val="auto"/>
          <w:sz w:val="22"/>
          <w:highlight w:val="none"/>
          <w:u w:val="single"/>
        </w:rPr>
        <w:t xml:space="preserve">                                                </w:t>
      </w:r>
    </w:p>
    <w:p w14:paraId="5AEC91A4">
      <w:pPr>
        <w:spacing w:line="360" w:lineRule="exact"/>
        <w:ind w:left="663" w:hanging="663" w:hangingChars="300"/>
        <w:jc w:val="left"/>
        <w:rPr>
          <w:rFonts w:hint="eastAsia" w:ascii="宋体" w:hAnsi="宋体" w:eastAsia="宋体" w:cs="宋体"/>
          <w:b/>
          <w:color w:val="auto"/>
          <w:sz w:val="22"/>
          <w:highlight w:val="none"/>
        </w:rPr>
      </w:pPr>
    </w:p>
    <w:p w14:paraId="39743F71">
      <w:pPr>
        <w:spacing w:line="360" w:lineRule="exact"/>
        <w:ind w:left="663" w:hanging="663" w:hangingChars="300"/>
        <w:jc w:val="left"/>
        <w:rPr>
          <w:rFonts w:hint="eastAsia" w:ascii="宋体" w:hAnsi="宋体" w:eastAsia="宋体" w:cs="宋体"/>
          <w:color w:val="auto"/>
          <w:sz w:val="22"/>
          <w:highlight w:val="none"/>
        </w:rPr>
      </w:pPr>
      <w:r>
        <w:rPr>
          <w:rFonts w:hint="eastAsia" w:ascii="宋体" w:hAnsi="宋体" w:eastAsia="宋体" w:cs="宋体"/>
          <w:b/>
          <w:color w:val="auto"/>
          <w:sz w:val="22"/>
          <w:highlight w:val="none"/>
        </w:rPr>
        <w:t>3. 近三年的年营业总额</w:t>
      </w:r>
      <w:r>
        <w:rPr>
          <w:rFonts w:hint="eastAsia" w:ascii="宋体" w:hAnsi="宋体" w:eastAsia="宋体" w:cs="宋体"/>
          <w:b/>
          <w:color w:val="auto"/>
          <w:sz w:val="22"/>
          <w:highlight w:val="none"/>
          <w:u w:val="single"/>
        </w:rPr>
        <w:t xml:space="preserve">                       </w:t>
      </w:r>
    </w:p>
    <w:p w14:paraId="64310F7A">
      <w:pPr>
        <w:spacing w:line="400" w:lineRule="exact"/>
        <w:rPr>
          <w:rFonts w:hint="eastAsia" w:ascii="宋体" w:hAnsi="宋体" w:eastAsia="宋体" w:cs="宋体"/>
          <w:color w:val="auto"/>
          <w:sz w:val="22"/>
          <w:highlight w:val="none"/>
        </w:rPr>
      </w:pPr>
    </w:p>
    <w:p w14:paraId="3671F3F1">
      <w:pPr>
        <w:spacing w:line="40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14:paraId="4C602CEA">
      <w:pPr>
        <w:spacing w:line="400" w:lineRule="exact"/>
        <w:rPr>
          <w:rFonts w:hint="eastAsia" w:ascii="宋体" w:hAnsi="宋体" w:eastAsia="宋体" w:cs="宋体"/>
          <w:color w:val="auto"/>
          <w:sz w:val="22"/>
          <w:highlight w:val="none"/>
        </w:rPr>
      </w:pPr>
    </w:p>
    <w:bookmarkEnd w:id="194"/>
    <w:p w14:paraId="01A55587">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1AB31FCC">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4FD2F15D">
      <w:pPr>
        <w:spacing w:line="360" w:lineRule="auto"/>
        <w:rPr>
          <w:rFonts w:hint="eastAsia" w:ascii="宋体" w:hAnsi="宋体" w:eastAsia="宋体" w:cs="宋体"/>
          <w:sz w:val="22"/>
          <w:highlight w:val="none"/>
          <w:lang w:val="en-US" w:eastAsia="zh-CN"/>
        </w:rPr>
      </w:pPr>
      <w:r>
        <w:rPr>
          <w:rFonts w:hint="eastAsia" w:ascii="宋体" w:hAnsi="宋体" w:eastAsia="宋体" w:cs="宋体"/>
          <w:sz w:val="22"/>
          <w:highlight w:val="none"/>
        </w:rPr>
        <w:t>日  期：</w:t>
      </w:r>
      <w:r>
        <w:rPr>
          <w:rFonts w:hint="eastAsia" w:ascii="宋体" w:hAnsi="宋体" w:eastAsia="宋体" w:cs="宋体"/>
          <w:sz w:val="22"/>
          <w:highlight w:val="none"/>
          <w:lang w:val="en-US" w:eastAsia="zh-CN"/>
        </w:rPr>
        <w:t xml:space="preserve"> </w:t>
      </w:r>
    </w:p>
    <w:p w14:paraId="41F3CCBB">
      <w:pPr>
        <w:rPr>
          <w:rFonts w:hint="eastAsia" w:ascii="宋体" w:hAnsi="宋体" w:eastAsia="宋体" w:cs="宋体"/>
          <w:sz w:val="22"/>
          <w:highlight w:val="none"/>
        </w:rPr>
      </w:pPr>
      <w:r>
        <w:rPr>
          <w:rFonts w:hint="eastAsia" w:ascii="宋体" w:hAnsi="宋体" w:eastAsia="宋体" w:cs="宋体"/>
          <w:sz w:val="22"/>
          <w:highlight w:val="none"/>
        </w:rPr>
        <w:br w:type="page"/>
      </w:r>
    </w:p>
    <w:p w14:paraId="071DB3CD">
      <w:pPr>
        <w:pStyle w:val="2"/>
        <w:adjustRightInd/>
        <w:snapToGrid/>
        <w:spacing w:before="120" w:after="120"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附件六  </w:t>
      </w:r>
    </w:p>
    <w:p w14:paraId="22B5BFCB">
      <w:pPr>
        <w:spacing w:before="120" w:beforeLines="50" w:after="120" w:afterLines="50"/>
        <w:ind w:right="-10"/>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拟投入设备、工具、耗材一览表</w:t>
      </w:r>
    </w:p>
    <w:p w14:paraId="335E6518">
      <w:pPr>
        <w:spacing w:after="120" w:afterLines="50"/>
        <w:rPr>
          <w:rFonts w:hint="eastAsia" w:ascii="宋体" w:hAnsi="宋体" w:eastAsia="宋体" w:cs="宋体"/>
          <w:color w:val="auto"/>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88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231"/>
        <w:gridCol w:w="1214"/>
        <w:gridCol w:w="1500"/>
        <w:gridCol w:w="1170"/>
        <w:gridCol w:w="755"/>
      </w:tblGrid>
      <w:tr w14:paraId="7EF12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809" w:type="dxa"/>
            <w:noWrap w:val="0"/>
            <w:vAlign w:val="center"/>
          </w:tcPr>
          <w:p w14:paraId="2ECAD4F3">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装备、工具、名称</w:t>
            </w:r>
          </w:p>
        </w:tc>
        <w:tc>
          <w:tcPr>
            <w:tcW w:w="1134" w:type="dxa"/>
            <w:noWrap w:val="0"/>
            <w:vAlign w:val="center"/>
          </w:tcPr>
          <w:p w14:paraId="048353D0">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规格型号</w:t>
            </w:r>
          </w:p>
        </w:tc>
        <w:tc>
          <w:tcPr>
            <w:tcW w:w="1231" w:type="dxa"/>
            <w:noWrap w:val="0"/>
            <w:vAlign w:val="center"/>
          </w:tcPr>
          <w:p w14:paraId="05E50771">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1214" w:type="dxa"/>
            <w:noWrap w:val="0"/>
            <w:vAlign w:val="center"/>
          </w:tcPr>
          <w:p w14:paraId="626174C8">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产地</w:t>
            </w:r>
          </w:p>
        </w:tc>
        <w:tc>
          <w:tcPr>
            <w:tcW w:w="1500" w:type="dxa"/>
            <w:noWrap w:val="0"/>
            <w:vAlign w:val="center"/>
          </w:tcPr>
          <w:p w14:paraId="33616466">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价格</w:t>
            </w:r>
            <w:r>
              <w:rPr>
                <w:rFonts w:hint="eastAsia" w:ascii="宋体" w:hAnsi="宋体" w:eastAsia="宋体" w:cs="宋体"/>
                <w:b/>
                <w:color w:val="auto"/>
                <w:sz w:val="18"/>
                <w:szCs w:val="18"/>
                <w:highlight w:val="none"/>
              </w:rPr>
              <w:t>（元）</w:t>
            </w:r>
          </w:p>
        </w:tc>
        <w:tc>
          <w:tcPr>
            <w:tcW w:w="1170" w:type="dxa"/>
            <w:noWrap w:val="0"/>
            <w:vAlign w:val="center"/>
          </w:tcPr>
          <w:p w14:paraId="7AEC3AAC">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包装形式</w:t>
            </w:r>
          </w:p>
        </w:tc>
        <w:tc>
          <w:tcPr>
            <w:tcW w:w="755" w:type="dxa"/>
            <w:noWrap w:val="0"/>
            <w:vAlign w:val="center"/>
          </w:tcPr>
          <w:p w14:paraId="2B8F5BC8">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14:paraId="17985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3AB2F585">
            <w:pPr>
              <w:ind w:firstLine="592"/>
              <w:jc w:val="center"/>
              <w:rPr>
                <w:rFonts w:hint="eastAsia" w:ascii="宋体" w:hAnsi="宋体" w:eastAsia="宋体" w:cs="宋体"/>
                <w:color w:val="auto"/>
                <w:sz w:val="18"/>
                <w:szCs w:val="18"/>
                <w:highlight w:val="none"/>
              </w:rPr>
            </w:pPr>
          </w:p>
        </w:tc>
        <w:tc>
          <w:tcPr>
            <w:tcW w:w="1134" w:type="dxa"/>
            <w:noWrap w:val="0"/>
            <w:vAlign w:val="center"/>
          </w:tcPr>
          <w:p w14:paraId="4C964C0E">
            <w:pPr>
              <w:ind w:firstLine="592"/>
              <w:jc w:val="center"/>
              <w:rPr>
                <w:rFonts w:hint="eastAsia" w:ascii="宋体" w:hAnsi="宋体" w:eastAsia="宋体" w:cs="宋体"/>
                <w:color w:val="auto"/>
                <w:sz w:val="18"/>
                <w:szCs w:val="18"/>
                <w:highlight w:val="none"/>
              </w:rPr>
            </w:pPr>
          </w:p>
        </w:tc>
        <w:tc>
          <w:tcPr>
            <w:tcW w:w="1231" w:type="dxa"/>
            <w:noWrap w:val="0"/>
            <w:vAlign w:val="center"/>
          </w:tcPr>
          <w:p w14:paraId="79C0EFF9">
            <w:pPr>
              <w:ind w:firstLine="592"/>
              <w:jc w:val="center"/>
              <w:rPr>
                <w:rFonts w:hint="eastAsia" w:ascii="宋体" w:hAnsi="宋体" w:eastAsia="宋体" w:cs="宋体"/>
                <w:color w:val="auto"/>
                <w:sz w:val="18"/>
                <w:szCs w:val="18"/>
                <w:highlight w:val="none"/>
              </w:rPr>
            </w:pPr>
          </w:p>
        </w:tc>
        <w:tc>
          <w:tcPr>
            <w:tcW w:w="1214" w:type="dxa"/>
            <w:noWrap w:val="0"/>
            <w:vAlign w:val="center"/>
          </w:tcPr>
          <w:p w14:paraId="770A5C33">
            <w:pPr>
              <w:ind w:firstLine="592"/>
              <w:jc w:val="center"/>
              <w:rPr>
                <w:rFonts w:hint="eastAsia" w:ascii="宋体" w:hAnsi="宋体" w:eastAsia="宋体" w:cs="宋体"/>
                <w:color w:val="auto"/>
                <w:sz w:val="18"/>
                <w:szCs w:val="18"/>
                <w:highlight w:val="none"/>
              </w:rPr>
            </w:pPr>
          </w:p>
        </w:tc>
        <w:tc>
          <w:tcPr>
            <w:tcW w:w="1500" w:type="dxa"/>
            <w:noWrap w:val="0"/>
            <w:vAlign w:val="center"/>
          </w:tcPr>
          <w:p w14:paraId="054FB1B3">
            <w:pPr>
              <w:ind w:firstLine="592"/>
              <w:jc w:val="center"/>
              <w:rPr>
                <w:rFonts w:hint="eastAsia" w:ascii="宋体" w:hAnsi="宋体" w:eastAsia="宋体" w:cs="宋体"/>
                <w:color w:val="auto"/>
                <w:sz w:val="18"/>
                <w:szCs w:val="18"/>
                <w:highlight w:val="none"/>
              </w:rPr>
            </w:pPr>
          </w:p>
        </w:tc>
        <w:tc>
          <w:tcPr>
            <w:tcW w:w="1170" w:type="dxa"/>
            <w:noWrap w:val="0"/>
            <w:vAlign w:val="center"/>
          </w:tcPr>
          <w:p w14:paraId="5DFAD251">
            <w:pPr>
              <w:ind w:firstLine="592"/>
              <w:jc w:val="center"/>
              <w:rPr>
                <w:rFonts w:hint="eastAsia" w:ascii="宋体" w:hAnsi="宋体" w:eastAsia="宋体" w:cs="宋体"/>
                <w:color w:val="auto"/>
                <w:sz w:val="18"/>
                <w:szCs w:val="18"/>
                <w:highlight w:val="none"/>
              </w:rPr>
            </w:pPr>
          </w:p>
        </w:tc>
        <w:tc>
          <w:tcPr>
            <w:tcW w:w="755" w:type="dxa"/>
            <w:noWrap w:val="0"/>
            <w:vAlign w:val="center"/>
          </w:tcPr>
          <w:p w14:paraId="7369337B">
            <w:pPr>
              <w:ind w:firstLine="592"/>
              <w:jc w:val="center"/>
              <w:rPr>
                <w:rFonts w:hint="eastAsia" w:ascii="宋体" w:hAnsi="宋体" w:eastAsia="宋体" w:cs="宋体"/>
                <w:color w:val="auto"/>
                <w:sz w:val="18"/>
                <w:szCs w:val="18"/>
                <w:highlight w:val="none"/>
              </w:rPr>
            </w:pPr>
          </w:p>
        </w:tc>
      </w:tr>
      <w:tr w14:paraId="274AF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4F53BABD">
            <w:pPr>
              <w:ind w:firstLine="592"/>
              <w:jc w:val="center"/>
              <w:rPr>
                <w:rFonts w:hint="eastAsia" w:ascii="宋体" w:hAnsi="宋体" w:eastAsia="宋体" w:cs="宋体"/>
                <w:color w:val="auto"/>
                <w:sz w:val="18"/>
                <w:szCs w:val="18"/>
                <w:highlight w:val="none"/>
              </w:rPr>
            </w:pPr>
          </w:p>
        </w:tc>
        <w:tc>
          <w:tcPr>
            <w:tcW w:w="1134" w:type="dxa"/>
            <w:noWrap w:val="0"/>
            <w:vAlign w:val="center"/>
          </w:tcPr>
          <w:p w14:paraId="65468E4A">
            <w:pPr>
              <w:ind w:firstLine="592"/>
              <w:jc w:val="center"/>
              <w:rPr>
                <w:rFonts w:hint="eastAsia" w:ascii="宋体" w:hAnsi="宋体" w:eastAsia="宋体" w:cs="宋体"/>
                <w:color w:val="auto"/>
                <w:sz w:val="18"/>
                <w:szCs w:val="18"/>
                <w:highlight w:val="none"/>
              </w:rPr>
            </w:pPr>
          </w:p>
        </w:tc>
        <w:tc>
          <w:tcPr>
            <w:tcW w:w="1231" w:type="dxa"/>
            <w:noWrap w:val="0"/>
            <w:vAlign w:val="center"/>
          </w:tcPr>
          <w:p w14:paraId="4BD35594">
            <w:pPr>
              <w:ind w:firstLine="592"/>
              <w:jc w:val="center"/>
              <w:rPr>
                <w:rFonts w:hint="eastAsia" w:ascii="宋体" w:hAnsi="宋体" w:eastAsia="宋体" w:cs="宋体"/>
                <w:color w:val="auto"/>
                <w:sz w:val="18"/>
                <w:szCs w:val="18"/>
                <w:highlight w:val="none"/>
              </w:rPr>
            </w:pPr>
          </w:p>
        </w:tc>
        <w:tc>
          <w:tcPr>
            <w:tcW w:w="1214" w:type="dxa"/>
            <w:noWrap w:val="0"/>
            <w:vAlign w:val="center"/>
          </w:tcPr>
          <w:p w14:paraId="06CA77A4">
            <w:pPr>
              <w:ind w:firstLine="592"/>
              <w:jc w:val="center"/>
              <w:rPr>
                <w:rFonts w:hint="eastAsia" w:ascii="宋体" w:hAnsi="宋体" w:eastAsia="宋体" w:cs="宋体"/>
                <w:color w:val="auto"/>
                <w:sz w:val="18"/>
                <w:szCs w:val="18"/>
                <w:highlight w:val="none"/>
              </w:rPr>
            </w:pPr>
          </w:p>
        </w:tc>
        <w:tc>
          <w:tcPr>
            <w:tcW w:w="1500" w:type="dxa"/>
            <w:noWrap w:val="0"/>
            <w:vAlign w:val="center"/>
          </w:tcPr>
          <w:p w14:paraId="53196453">
            <w:pPr>
              <w:ind w:firstLine="592"/>
              <w:jc w:val="center"/>
              <w:rPr>
                <w:rFonts w:hint="eastAsia" w:ascii="宋体" w:hAnsi="宋体" w:eastAsia="宋体" w:cs="宋体"/>
                <w:color w:val="auto"/>
                <w:sz w:val="18"/>
                <w:szCs w:val="18"/>
                <w:highlight w:val="none"/>
              </w:rPr>
            </w:pPr>
          </w:p>
        </w:tc>
        <w:tc>
          <w:tcPr>
            <w:tcW w:w="1170" w:type="dxa"/>
            <w:noWrap w:val="0"/>
            <w:vAlign w:val="center"/>
          </w:tcPr>
          <w:p w14:paraId="509D83E3">
            <w:pPr>
              <w:ind w:firstLine="592"/>
              <w:jc w:val="center"/>
              <w:rPr>
                <w:rFonts w:hint="eastAsia" w:ascii="宋体" w:hAnsi="宋体" w:eastAsia="宋体" w:cs="宋体"/>
                <w:color w:val="auto"/>
                <w:sz w:val="18"/>
                <w:szCs w:val="18"/>
                <w:highlight w:val="none"/>
              </w:rPr>
            </w:pPr>
          </w:p>
        </w:tc>
        <w:tc>
          <w:tcPr>
            <w:tcW w:w="755" w:type="dxa"/>
            <w:noWrap w:val="0"/>
            <w:vAlign w:val="center"/>
          </w:tcPr>
          <w:p w14:paraId="33533398">
            <w:pPr>
              <w:ind w:firstLine="592"/>
              <w:jc w:val="center"/>
              <w:rPr>
                <w:rFonts w:hint="eastAsia" w:ascii="宋体" w:hAnsi="宋体" w:eastAsia="宋体" w:cs="宋体"/>
                <w:color w:val="auto"/>
                <w:sz w:val="18"/>
                <w:szCs w:val="18"/>
                <w:highlight w:val="none"/>
              </w:rPr>
            </w:pPr>
          </w:p>
        </w:tc>
      </w:tr>
      <w:tr w14:paraId="44FA1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2573E06C">
            <w:pPr>
              <w:ind w:firstLine="592"/>
              <w:jc w:val="center"/>
              <w:rPr>
                <w:rFonts w:hint="eastAsia" w:ascii="宋体" w:hAnsi="宋体" w:eastAsia="宋体" w:cs="宋体"/>
                <w:color w:val="auto"/>
                <w:sz w:val="18"/>
                <w:szCs w:val="18"/>
                <w:highlight w:val="none"/>
              </w:rPr>
            </w:pPr>
          </w:p>
        </w:tc>
        <w:tc>
          <w:tcPr>
            <w:tcW w:w="1134" w:type="dxa"/>
            <w:noWrap w:val="0"/>
            <w:vAlign w:val="center"/>
          </w:tcPr>
          <w:p w14:paraId="2DF4CA78">
            <w:pPr>
              <w:ind w:firstLine="592"/>
              <w:jc w:val="center"/>
              <w:rPr>
                <w:rFonts w:hint="eastAsia" w:ascii="宋体" w:hAnsi="宋体" w:eastAsia="宋体" w:cs="宋体"/>
                <w:color w:val="auto"/>
                <w:sz w:val="18"/>
                <w:szCs w:val="18"/>
                <w:highlight w:val="none"/>
              </w:rPr>
            </w:pPr>
          </w:p>
        </w:tc>
        <w:tc>
          <w:tcPr>
            <w:tcW w:w="1231" w:type="dxa"/>
            <w:noWrap w:val="0"/>
            <w:vAlign w:val="center"/>
          </w:tcPr>
          <w:p w14:paraId="053119E1">
            <w:pPr>
              <w:ind w:firstLine="592"/>
              <w:jc w:val="center"/>
              <w:rPr>
                <w:rFonts w:hint="eastAsia" w:ascii="宋体" w:hAnsi="宋体" w:eastAsia="宋体" w:cs="宋体"/>
                <w:color w:val="auto"/>
                <w:sz w:val="18"/>
                <w:szCs w:val="18"/>
                <w:highlight w:val="none"/>
              </w:rPr>
            </w:pPr>
          </w:p>
        </w:tc>
        <w:tc>
          <w:tcPr>
            <w:tcW w:w="1214" w:type="dxa"/>
            <w:noWrap w:val="0"/>
            <w:vAlign w:val="center"/>
          </w:tcPr>
          <w:p w14:paraId="5C77236A">
            <w:pPr>
              <w:ind w:firstLine="592"/>
              <w:jc w:val="center"/>
              <w:rPr>
                <w:rFonts w:hint="eastAsia" w:ascii="宋体" w:hAnsi="宋体" w:eastAsia="宋体" w:cs="宋体"/>
                <w:color w:val="auto"/>
                <w:sz w:val="18"/>
                <w:szCs w:val="18"/>
                <w:highlight w:val="none"/>
              </w:rPr>
            </w:pPr>
          </w:p>
        </w:tc>
        <w:tc>
          <w:tcPr>
            <w:tcW w:w="1500" w:type="dxa"/>
            <w:noWrap w:val="0"/>
            <w:vAlign w:val="center"/>
          </w:tcPr>
          <w:p w14:paraId="1D594586">
            <w:pPr>
              <w:ind w:firstLine="592"/>
              <w:jc w:val="center"/>
              <w:rPr>
                <w:rFonts w:hint="eastAsia" w:ascii="宋体" w:hAnsi="宋体" w:eastAsia="宋体" w:cs="宋体"/>
                <w:color w:val="auto"/>
                <w:sz w:val="18"/>
                <w:szCs w:val="18"/>
                <w:highlight w:val="none"/>
              </w:rPr>
            </w:pPr>
          </w:p>
        </w:tc>
        <w:tc>
          <w:tcPr>
            <w:tcW w:w="1170" w:type="dxa"/>
            <w:noWrap w:val="0"/>
            <w:vAlign w:val="center"/>
          </w:tcPr>
          <w:p w14:paraId="0570C84E">
            <w:pPr>
              <w:ind w:firstLine="592"/>
              <w:jc w:val="center"/>
              <w:rPr>
                <w:rFonts w:hint="eastAsia" w:ascii="宋体" w:hAnsi="宋体" w:eastAsia="宋体" w:cs="宋体"/>
                <w:color w:val="auto"/>
                <w:sz w:val="18"/>
                <w:szCs w:val="18"/>
                <w:highlight w:val="none"/>
              </w:rPr>
            </w:pPr>
          </w:p>
        </w:tc>
        <w:tc>
          <w:tcPr>
            <w:tcW w:w="755" w:type="dxa"/>
            <w:noWrap w:val="0"/>
            <w:vAlign w:val="center"/>
          </w:tcPr>
          <w:p w14:paraId="4E424845">
            <w:pPr>
              <w:ind w:firstLine="592"/>
              <w:jc w:val="center"/>
              <w:rPr>
                <w:rFonts w:hint="eastAsia" w:ascii="宋体" w:hAnsi="宋体" w:eastAsia="宋体" w:cs="宋体"/>
                <w:color w:val="auto"/>
                <w:sz w:val="18"/>
                <w:szCs w:val="18"/>
                <w:highlight w:val="none"/>
              </w:rPr>
            </w:pPr>
          </w:p>
        </w:tc>
      </w:tr>
      <w:tr w14:paraId="62729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6DB1D895">
            <w:pPr>
              <w:ind w:firstLine="592"/>
              <w:jc w:val="center"/>
              <w:rPr>
                <w:rFonts w:hint="eastAsia" w:ascii="宋体" w:hAnsi="宋体" w:eastAsia="宋体" w:cs="宋体"/>
                <w:color w:val="auto"/>
                <w:sz w:val="18"/>
                <w:szCs w:val="18"/>
                <w:highlight w:val="none"/>
              </w:rPr>
            </w:pPr>
          </w:p>
        </w:tc>
        <w:tc>
          <w:tcPr>
            <w:tcW w:w="1134" w:type="dxa"/>
            <w:noWrap w:val="0"/>
            <w:vAlign w:val="center"/>
          </w:tcPr>
          <w:p w14:paraId="0AB9884F">
            <w:pPr>
              <w:ind w:firstLine="592"/>
              <w:jc w:val="center"/>
              <w:rPr>
                <w:rFonts w:hint="eastAsia" w:ascii="宋体" w:hAnsi="宋体" w:eastAsia="宋体" w:cs="宋体"/>
                <w:color w:val="auto"/>
                <w:sz w:val="18"/>
                <w:szCs w:val="18"/>
                <w:highlight w:val="none"/>
              </w:rPr>
            </w:pPr>
          </w:p>
        </w:tc>
        <w:tc>
          <w:tcPr>
            <w:tcW w:w="1231" w:type="dxa"/>
            <w:noWrap w:val="0"/>
            <w:vAlign w:val="center"/>
          </w:tcPr>
          <w:p w14:paraId="63AE1496">
            <w:pPr>
              <w:ind w:firstLine="592"/>
              <w:jc w:val="center"/>
              <w:rPr>
                <w:rFonts w:hint="eastAsia" w:ascii="宋体" w:hAnsi="宋体" w:eastAsia="宋体" w:cs="宋体"/>
                <w:color w:val="auto"/>
                <w:sz w:val="18"/>
                <w:szCs w:val="18"/>
                <w:highlight w:val="none"/>
              </w:rPr>
            </w:pPr>
          </w:p>
        </w:tc>
        <w:tc>
          <w:tcPr>
            <w:tcW w:w="1214" w:type="dxa"/>
            <w:noWrap w:val="0"/>
            <w:vAlign w:val="center"/>
          </w:tcPr>
          <w:p w14:paraId="63494899">
            <w:pPr>
              <w:ind w:firstLine="592"/>
              <w:jc w:val="center"/>
              <w:rPr>
                <w:rFonts w:hint="eastAsia" w:ascii="宋体" w:hAnsi="宋体" w:eastAsia="宋体" w:cs="宋体"/>
                <w:color w:val="auto"/>
                <w:sz w:val="18"/>
                <w:szCs w:val="18"/>
                <w:highlight w:val="none"/>
              </w:rPr>
            </w:pPr>
          </w:p>
        </w:tc>
        <w:tc>
          <w:tcPr>
            <w:tcW w:w="1500" w:type="dxa"/>
            <w:noWrap w:val="0"/>
            <w:vAlign w:val="center"/>
          </w:tcPr>
          <w:p w14:paraId="3F570927">
            <w:pPr>
              <w:ind w:firstLine="592"/>
              <w:jc w:val="center"/>
              <w:rPr>
                <w:rFonts w:hint="eastAsia" w:ascii="宋体" w:hAnsi="宋体" w:eastAsia="宋体" w:cs="宋体"/>
                <w:color w:val="auto"/>
                <w:sz w:val="18"/>
                <w:szCs w:val="18"/>
                <w:highlight w:val="none"/>
              </w:rPr>
            </w:pPr>
          </w:p>
        </w:tc>
        <w:tc>
          <w:tcPr>
            <w:tcW w:w="1170" w:type="dxa"/>
            <w:noWrap w:val="0"/>
            <w:vAlign w:val="center"/>
          </w:tcPr>
          <w:p w14:paraId="3FD18698">
            <w:pPr>
              <w:ind w:firstLine="592"/>
              <w:jc w:val="center"/>
              <w:rPr>
                <w:rFonts w:hint="eastAsia" w:ascii="宋体" w:hAnsi="宋体" w:eastAsia="宋体" w:cs="宋体"/>
                <w:color w:val="auto"/>
                <w:sz w:val="18"/>
                <w:szCs w:val="18"/>
                <w:highlight w:val="none"/>
              </w:rPr>
            </w:pPr>
          </w:p>
        </w:tc>
        <w:tc>
          <w:tcPr>
            <w:tcW w:w="755" w:type="dxa"/>
            <w:noWrap w:val="0"/>
            <w:vAlign w:val="center"/>
          </w:tcPr>
          <w:p w14:paraId="7E7AFC76">
            <w:pPr>
              <w:ind w:firstLine="592"/>
              <w:jc w:val="center"/>
              <w:rPr>
                <w:rFonts w:hint="eastAsia" w:ascii="宋体" w:hAnsi="宋体" w:eastAsia="宋体" w:cs="宋体"/>
                <w:color w:val="auto"/>
                <w:sz w:val="18"/>
                <w:szCs w:val="18"/>
                <w:highlight w:val="none"/>
              </w:rPr>
            </w:pPr>
          </w:p>
        </w:tc>
      </w:tr>
      <w:tr w14:paraId="055A4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5A49DFD7">
            <w:pPr>
              <w:ind w:firstLine="592"/>
              <w:jc w:val="center"/>
              <w:rPr>
                <w:rFonts w:hint="eastAsia" w:ascii="宋体" w:hAnsi="宋体" w:eastAsia="宋体" w:cs="宋体"/>
                <w:color w:val="auto"/>
                <w:sz w:val="18"/>
                <w:szCs w:val="18"/>
                <w:highlight w:val="none"/>
              </w:rPr>
            </w:pPr>
          </w:p>
        </w:tc>
        <w:tc>
          <w:tcPr>
            <w:tcW w:w="1134" w:type="dxa"/>
            <w:noWrap w:val="0"/>
            <w:vAlign w:val="center"/>
          </w:tcPr>
          <w:p w14:paraId="316B9D71">
            <w:pPr>
              <w:ind w:firstLine="592"/>
              <w:jc w:val="center"/>
              <w:rPr>
                <w:rFonts w:hint="eastAsia" w:ascii="宋体" w:hAnsi="宋体" w:eastAsia="宋体" w:cs="宋体"/>
                <w:color w:val="auto"/>
                <w:sz w:val="18"/>
                <w:szCs w:val="18"/>
                <w:highlight w:val="none"/>
              </w:rPr>
            </w:pPr>
          </w:p>
        </w:tc>
        <w:tc>
          <w:tcPr>
            <w:tcW w:w="1231" w:type="dxa"/>
            <w:noWrap w:val="0"/>
            <w:vAlign w:val="center"/>
          </w:tcPr>
          <w:p w14:paraId="5BD9EA5F">
            <w:pPr>
              <w:ind w:firstLine="592"/>
              <w:jc w:val="center"/>
              <w:rPr>
                <w:rFonts w:hint="eastAsia" w:ascii="宋体" w:hAnsi="宋体" w:eastAsia="宋体" w:cs="宋体"/>
                <w:color w:val="auto"/>
                <w:sz w:val="18"/>
                <w:szCs w:val="18"/>
                <w:highlight w:val="none"/>
              </w:rPr>
            </w:pPr>
          </w:p>
        </w:tc>
        <w:tc>
          <w:tcPr>
            <w:tcW w:w="1214" w:type="dxa"/>
            <w:noWrap w:val="0"/>
            <w:vAlign w:val="center"/>
          </w:tcPr>
          <w:p w14:paraId="3A221CAE">
            <w:pPr>
              <w:ind w:firstLine="592"/>
              <w:jc w:val="center"/>
              <w:rPr>
                <w:rFonts w:hint="eastAsia" w:ascii="宋体" w:hAnsi="宋体" w:eastAsia="宋体" w:cs="宋体"/>
                <w:color w:val="auto"/>
                <w:sz w:val="18"/>
                <w:szCs w:val="18"/>
                <w:highlight w:val="none"/>
              </w:rPr>
            </w:pPr>
          </w:p>
        </w:tc>
        <w:tc>
          <w:tcPr>
            <w:tcW w:w="1500" w:type="dxa"/>
            <w:noWrap w:val="0"/>
            <w:vAlign w:val="center"/>
          </w:tcPr>
          <w:p w14:paraId="3FD0C975">
            <w:pPr>
              <w:ind w:firstLine="592"/>
              <w:jc w:val="center"/>
              <w:rPr>
                <w:rFonts w:hint="eastAsia" w:ascii="宋体" w:hAnsi="宋体" w:eastAsia="宋体" w:cs="宋体"/>
                <w:color w:val="auto"/>
                <w:sz w:val="18"/>
                <w:szCs w:val="18"/>
                <w:highlight w:val="none"/>
              </w:rPr>
            </w:pPr>
          </w:p>
        </w:tc>
        <w:tc>
          <w:tcPr>
            <w:tcW w:w="1170" w:type="dxa"/>
            <w:noWrap w:val="0"/>
            <w:vAlign w:val="center"/>
          </w:tcPr>
          <w:p w14:paraId="2DEC934C">
            <w:pPr>
              <w:ind w:firstLine="592"/>
              <w:jc w:val="center"/>
              <w:rPr>
                <w:rFonts w:hint="eastAsia" w:ascii="宋体" w:hAnsi="宋体" w:eastAsia="宋体" w:cs="宋体"/>
                <w:color w:val="auto"/>
                <w:sz w:val="18"/>
                <w:szCs w:val="18"/>
                <w:highlight w:val="none"/>
              </w:rPr>
            </w:pPr>
          </w:p>
        </w:tc>
        <w:tc>
          <w:tcPr>
            <w:tcW w:w="755" w:type="dxa"/>
            <w:noWrap w:val="0"/>
            <w:vAlign w:val="center"/>
          </w:tcPr>
          <w:p w14:paraId="3C0BF330">
            <w:pPr>
              <w:ind w:firstLine="592"/>
              <w:jc w:val="center"/>
              <w:rPr>
                <w:rFonts w:hint="eastAsia" w:ascii="宋体" w:hAnsi="宋体" w:eastAsia="宋体" w:cs="宋体"/>
                <w:color w:val="auto"/>
                <w:sz w:val="18"/>
                <w:szCs w:val="18"/>
                <w:highlight w:val="none"/>
              </w:rPr>
            </w:pPr>
          </w:p>
        </w:tc>
      </w:tr>
      <w:tr w14:paraId="4C330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3422125D">
            <w:pPr>
              <w:ind w:firstLine="592"/>
              <w:jc w:val="center"/>
              <w:rPr>
                <w:rFonts w:hint="eastAsia" w:ascii="宋体" w:hAnsi="宋体" w:eastAsia="宋体" w:cs="宋体"/>
                <w:color w:val="auto"/>
                <w:sz w:val="18"/>
                <w:szCs w:val="18"/>
                <w:highlight w:val="none"/>
              </w:rPr>
            </w:pPr>
          </w:p>
        </w:tc>
        <w:tc>
          <w:tcPr>
            <w:tcW w:w="1134" w:type="dxa"/>
            <w:noWrap w:val="0"/>
            <w:vAlign w:val="center"/>
          </w:tcPr>
          <w:p w14:paraId="11E77B96">
            <w:pPr>
              <w:ind w:firstLine="592"/>
              <w:jc w:val="center"/>
              <w:rPr>
                <w:rFonts w:hint="eastAsia" w:ascii="宋体" w:hAnsi="宋体" w:eastAsia="宋体" w:cs="宋体"/>
                <w:color w:val="auto"/>
                <w:sz w:val="18"/>
                <w:szCs w:val="18"/>
                <w:highlight w:val="none"/>
              </w:rPr>
            </w:pPr>
          </w:p>
        </w:tc>
        <w:tc>
          <w:tcPr>
            <w:tcW w:w="1231" w:type="dxa"/>
            <w:noWrap w:val="0"/>
            <w:vAlign w:val="center"/>
          </w:tcPr>
          <w:p w14:paraId="5947C353">
            <w:pPr>
              <w:ind w:firstLine="592"/>
              <w:jc w:val="center"/>
              <w:rPr>
                <w:rFonts w:hint="eastAsia" w:ascii="宋体" w:hAnsi="宋体" w:eastAsia="宋体" w:cs="宋体"/>
                <w:color w:val="auto"/>
                <w:sz w:val="18"/>
                <w:szCs w:val="18"/>
                <w:highlight w:val="none"/>
              </w:rPr>
            </w:pPr>
          </w:p>
        </w:tc>
        <w:tc>
          <w:tcPr>
            <w:tcW w:w="1214" w:type="dxa"/>
            <w:noWrap w:val="0"/>
            <w:vAlign w:val="center"/>
          </w:tcPr>
          <w:p w14:paraId="0A7D8EDC">
            <w:pPr>
              <w:ind w:firstLine="592"/>
              <w:jc w:val="center"/>
              <w:rPr>
                <w:rFonts w:hint="eastAsia" w:ascii="宋体" w:hAnsi="宋体" w:eastAsia="宋体" w:cs="宋体"/>
                <w:color w:val="auto"/>
                <w:sz w:val="18"/>
                <w:szCs w:val="18"/>
                <w:highlight w:val="none"/>
              </w:rPr>
            </w:pPr>
          </w:p>
        </w:tc>
        <w:tc>
          <w:tcPr>
            <w:tcW w:w="1500" w:type="dxa"/>
            <w:noWrap w:val="0"/>
            <w:vAlign w:val="center"/>
          </w:tcPr>
          <w:p w14:paraId="4FA6247B">
            <w:pPr>
              <w:ind w:firstLine="592"/>
              <w:jc w:val="center"/>
              <w:rPr>
                <w:rFonts w:hint="eastAsia" w:ascii="宋体" w:hAnsi="宋体" w:eastAsia="宋体" w:cs="宋体"/>
                <w:color w:val="auto"/>
                <w:sz w:val="18"/>
                <w:szCs w:val="18"/>
                <w:highlight w:val="none"/>
              </w:rPr>
            </w:pPr>
          </w:p>
        </w:tc>
        <w:tc>
          <w:tcPr>
            <w:tcW w:w="1170" w:type="dxa"/>
            <w:noWrap w:val="0"/>
            <w:vAlign w:val="center"/>
          </w:tcPr>
          <w:p w14:paraId="40A73A6E">
            <w:pPr>
              <w:ind w:firstLine="592"/>
              <w:jc w:val="center"/>
              <w:rPr>
                <w:rFonts w:hint="eastAsia" w:ascii="宋体" w:hAnsi="宋体" w:eastAsia="宋体" w:cs="宋体"/>
                <w:color w:val="auto"/>
                <w:sz w:val="18"/>
                <w:szCs w:val="18"/>
                <w:highlight w:val="none"/>
              </w:rPr>
            </w:pPr>
          </w:p>
        </w:tc>
        <w:tc>
          <w:tcPr>
            <w:tcW w:w="755" w:type="dxa"/>
            <w:noWrap w:val="0"/>
            <w:vAlign w:val="center"/>
          </w:tcPr>
          <w:p w14:paraId="2E8BA3BE">
            <w:pPr>
              <w:ind w:firstLine="592"/>
              <w:jc w:val="center"/>
              <w:rPr>
                <w:rFonts w:hint="eastAsia" w:ascii="宋体" w:hAnsi="宋体" w:eastAsia="宋体" w:cs="宋体"/>
                <w:color w:val="auto"/>
                <w:sz w:val="18"/>
                <w:szCs w:val="18"/>
                <w:highlight w:val="none"/>
              </w:rPr>
            </w:pPr>
          </w:p>
        </w:tc>
      </w:tr>
      <w:tr w14:paraId="2111F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6006157C">
            <w:pPr>
              <w:ind w:firstLine="592"/>
              <w:jc w:val="center"/>
              <w:rPr>
                <w:rFonts w:hint="eastAsia" w:ascii="宋体" w:hAnsi="宋体" w:eastAsia="宋体" w:cs="宋体"/>
                <w:color w:val="auto"/>
                <w:sz w:val="18"/>
                <w:szCs w:val="18"/>
                <w:highlight w:val="none"/>
              </w:rPr>
            </w:pPr>
          </w:p>
        </w:tc>
        <w:tc>
          <w:tcPr>
            <w:tcW w:w="1134" w:type="dxa"/>
            <w:noWrap w:val="0"/>
            <w:vAlign w:val="center"/>
          </w:tcPr>
          <w:p w14:paraId="3947285A">
            <w:pPr>
              <w:ind w:firstLine="592"/>
              <w:jc w:val="center"/>
              <w:rPr>
                <w:rFonts w:hint="eastAsia" w:ascii="宋体" w:hAnsi="宋体" w:eastAsia="宋体" w:cs="宋体"/>
                <w:color w:val="auto"/>
                <w:sz w:val="18"/>
                <w:szCs w:val="18"/>
                <w:highlight w:val="none"/>
              </w:rPr>
            </w:pPr>
          </w:p>
        </w:tc>
        <w:tc>
          <w:tcPr>
            <w:tcW w:w="1231" w:type="dxa"/>
            <w:noWrap w:val="0"/>
            <w:vAlign w:val="center"/>
          </w:tcPr>
          <w:p w14:paraId="787AA3E4">
            <w:pPr>
              <w:ind w:firstLine="592"/>
              <w:jc w:val="center"/>
              <w:rPr>
                <w:rFonts w:hint="eastAsia" w:ascii="宋体" w:hAnsi="宋体" w:eastAsia="宋体" w:cs="宋体"/>
                <w:color w:val="auto"/>
                <w:sz w:val="18"/>
                <w:szCs w:val="18"/>
                <w:highlight w:val="none"/>
              </w:rPr>
            </w:pPr>
          </w:p>
        </w:tc>
        <w:tc>
          <w:tcPr>
            <w:tcW w:w="1214" w:type="dxa"/>
            <w:noWrap w:val="0"/>
            <w:vAlign w:val="center"/>
          </w:tcPr>
          <w:p w14:paraId="6678556C">
            <w:pPr>
              <w:ind w:firstLine="592"/>
              <w:jc w:val="center"/>
              <w:rPr>
                <w:rFonts w:hint="eastAsia" w:ascii="宋体" w:hAnsi="宋体" w:eastAsia="宋体" w:cs="宋体"/>
                <w:color w:val="auto"/>
                <w:sz w:val="18"/>
                <w:szCs w:val="18"/>
                <w:highlight w:val="none"/>
              </w:rPr>
            </w:pPr>
          </w:p>
        </w:tc>
        <w:tc>
          <w:tcPr>
            <w:tcW w:w="1500" w:type="dxa"/>
            <w:noWrap w:val="0"/>
            <w:vAlign w:val="center"/>
          </w:tcPr>
          <w:p w14:paraId="5391388A">
            <w:pPr>
              <w:ind w:firstLine="592"/>
              <w:jc w:val="center"/>
              <w:rPr>
                <w:rFonts w:hint="eastAsia" w:ascii="宋体" w:hAnsi="宋体" w:eastAsia="宋体" w:cs="宋体"/>
                <w:color w:val="auto"/>
                <w:sz w:val="18"/>
                <w:szCs w:val="18"/>
                <w:highlight w:val="none"/>
              </w:rPr>
            </w:pPr>
          </w:p>
        </w:tc>
        <w:tc>
          <w:tcPr>
            <w:tcW w:w="1170" w:type="dxa"/>
            <w:noWrap w:val="0"/>
            <w:vAlign w:val="center"/>
          </w:tcPr>
          <w:p w14:paraId="6831BE3B">
            <w:pPr>
              <w:ind w:firstLine="592"/>
              <w:jc w:val="center"/>
              <w:rPr>
                <w:rFonts w:hint="eastAsia" w:ascii="宋体" w:hAnsi="宋体" w:eastAsia="宋体" w:cs="宋体"/>
                <w:color w:val="auto"/>
                <w:sz w:val="18"/>
                <w:szCs w:val="18"/>
                <w:highlight w:val="none"/>
              </w:rPr>
            </w:pPr>
          </w:p>
        </w:tc>
        <w:tc>
          <w:tcPr>
            <w:tcW w:w="755" w:type="dxa"/>
            <w:noWrap w:val="0"/>
            <w:vAlign w:val="center"/>
          </w:tcPr>
          <w:p w14:paraId="78EC97D7">
            <w:pPr>
              <w:ind w:firstLine="592"/>
              <w:jc w:val="center"/>
              <w:rPr>
                <w:rFonts w:hint="eastAsia" w:ascii="宋体" w:hAnsi="宋体" w:eastAsia="宋体" w:cs="宋体"/>
                <w:color w:val="auto"/>
                <w:sz w:val="18"/>
                <w:szCs w:val="18"/>
                <w:highlight w:val="none"/>
              </w:rPr>
            </w:pPr>
          </w:p>
        </w:tc>
      </w:tr>
      <w:tr w14:paraId="6FBDC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669C3DA4">
            <w:pPr>
              <w:ind w:firstLine="592"/>
              <w:jc w:val="center"/>
              <w:rPr>
                <w:rFonts w:hint="eastAsia" w:ascii="宋体" w:hAnsi="宋体" w:eastAsia="宋体" w:cs="宋体"/>
                <w:color w:val="auto"/>
                <w:sz w:val="18"/>
                <w:szCs w:val="18"/>
                <w:highlight w:val="none"/>
              </w:rPr>
            </w:pPr>
          </w:p>
        </w:tc>
        <w:tc>
          <w:tcPr>
            <w:tcW w:w="1134" w:type="dxa"/>
            <w:noWrap w:val="0"/>
            <w:vAlign w:val="center"/>
          </w:tcPr>
          <w:p w14:paraId="337D90E3">
            <w:pPr>
              <w:ind w:firstLine="592"/>
              <w:jc w:val="center"/>
              <w:rPr>
                <w:rFonts w:hint="eastAsia" w:ascii="宋体" w:hAnsi="宋体" w:eastAsia="宋体" w:cs="宋体"/>
                <w:color w:val="auto"/>
                <w:sz w:val="18"/>
                <w:szCs w:val="18"/>
                <w:highlight w:val="none"/>
              </w:rPr>
            </w:pPr>
          </w:p>
        </w:tc>
        <w:tc>
          <w:tcPr>
            <w:tcW w:w="1231" w:type="dxa"/>
            <w:noWrap w:val="0"/>
            <w:vAlign w:val="center"/>
          </w:tcPr>
          <w:p w14:paraId="4663F6E0">
            <w:pPr>
              <w:ind w:firstLine="592"/>
              <w:jc w:val="center"/>
              <w:rPr>
                <w:rFonts w:hint="eastAsia" w:ascii="宋体" w:hAnsi="宋体" w:eastAsia="宋体" w:cs="宋体"/>
                <w:color w:val="auto"/>
                <w:sz w:val="18"/>
                <w:szCs w:val="18"/>
                <w:highlight w:val="none"/>
              </w:rPr>
            </w:pPr>
          </w:p>
        </w:tc>
        <w:tc>
          <w:tcPr>
            <w:tcW w:w="1214" w:type="dxa"/>
            <w:noWrap w:val="0"/>
            <w:vAlign w:val="center"/>
          </w:tcPr>
          <w:p w14:paraId="6C309540">
            <w:pPr>
              <w:ind w:firstLine="592"/>
              <w:jc w:val="center"/>
              <w:rPr>
                <w:rFonts w:hint="eastAsia" w:ascii="宋体" w:hAnsi="宋体" w:eastAsia="宋体" w:cs="宋体"/>
                <w:color w:val="auto"/>
                <w:sz w:val="18"/>
                <w:szCs w:val="18"/>
                <w:highlight w:val="none"/>
              </w:rPr>
            </w:pPr>
          </w:p>
        </w:tc>
        <w:tc>
          <w:tcPr>
            <w:tcW w:w="1500" w:type="dxa"/>
            <w:noWrap w:val="0"/>
            <w:vAlign w:val="center"/>
          </w:tcPr>
          <w:p w14:paraId="4B116E2F">
            <w:pPr>
              <w:ind w:firstLine="592"/>
              <w:jc w:val="center"/>
              <w:rPr>
                <w:rFonts w:hint="eastAsia" w:ascii="宋体" w:hAnsi="宋体" w:eastAsia="宋体" w:cs="宋体"/>
                <w:color w:val="auto"/>
                <w:sz w:val="18"/>
                <w:szCs w:val="18"/>
                <w:highlight w:val="none"/>
              </w:rPr>
            </w:pPr>
          </w:p>
        </w:tc>
        <w:tc>
          <w:tcPr>
            <w:tcW w:w="1170" w:type="dxa"/>
            <w:noWrap w:val="0"/>
            <w:vAlign w:val="center"/>
          </w:tcPr>
          <w:p w14:paraId="14506E7B">
            <w:pPr>
              <w:ind w:firstLine="592"/>
              <w:jc w:val="center"/>
              <w:rPr>
                <w:rFonts w:hint="eastAsia" w:ascii="宋体" w:hAnsi="宋体" w:eastAsia="宋体" w:cs="宋体"/>
                <w:color w:val="auto"/>
                <w:sz w:val="18"/>
                <w:szCs w:val="18"/>
                <w:highlight w:val="none"/>
              </w:rPr>
            </w:pPr>
          </w:p>
        </w:tc>
        <w:tc>
          <w:tcPr>
            <w:tcW w:w="755" w:type="dxa"/>
            <w:noWrap w:val="0"/>
            <w:vAlign w:val="center"/>
          </w:tcPr>
          <w:p w14:paraId="1A414DCC">
            <w:pPr>
              <w:ind w:firstLine="592"/>
              <w:jc w:val="center"/>
              <w:rPr>
                <w:rFonts w:hint="eastAsia" w:ascii="宋体" w:hAnsi="宋体" w:eastAsia="宋体" w:cs="宋体"/>
                <w:color w:val="auto"/>
                <w:sz w:val="18"/>
                <w:szCs w:val="18"/>
                <w:highlight w:val="none"/>
              </w:rPr>
            </w:pPr>
          </w:p>
        </w:tc>
      </w:tr>
      <w:tr w14:paraId="254D0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761D1DD9">
            <w:pPr>
              <w:ind w:firstLine="592"/>
              <w:jc w:val="center"/>
              <w:rPr>
                <w:rFonts w:hint="eastAsia" w:ascii="宋体" w:hAnsi="宋体" w:eastAsia="宋体" w:cs="宋体"/>
                <w:color w:val="auto"/>
                <w:sz w:val="18"/>
                <w:szCs w:val="18"/>
                <w:highlight w:val="none"/>
              </w:rPr>
            </w:pPr>
          </w:p>
        </w:tc>
        <w:tc>
          <w:tcPr>
            <w:tcW w:w="1134" w:type="dxa"/>
            <w:noWrap w:val="0"/>
            <w:vAlign w:val="center"/>
          </w:tcPr>
          <w:p w14:paraId="02EE7911">
            <w:pPr>
              <w:ind w:firstLine="592"/>
              <w:jc w:val="center"/>
              <w:rPr>
                <w:rFonts w:hint="eastAsia" w:ascii="宋体" w:hAnsi="宋体" w:eastAsia="宋体" w:cs="宋体"/>
                <w:color w:val="auto"/>
                <w:sz w:val="18"/>
                <w:szCs w:val="18"/>
                <w:highlight w:val="none"/>
              </w:rPr>
            </w:pPr>
          </w:p>
        </w:tc>
        <w:tc>
          <w:tcPr>
            <w:tcW w:w="1231" w:type="dxa"/>
            <w:noWrap w:val="0"/>
            <w:vAlign w:val="center"/>
          </w:tcPr>
          <w:p w14:paraId="0C28EDC3">
            <w:pPr>
              <w:ind w:firstLine="592"/>
              <w:jc w:val="center"/>
              <w:rPr>
                <w:rFonts w:hint="eastAsia" w:ascii="宋体" w:hAnsi="宋体" w:eastAsia="宋体" w:cs="宋体"/>
                <w:color w:val="auto"/>
                <w:sz w:val="18"/>
                <w:szCs w:val="18"/>
                <w:highlight w:val="none"/>
              </w:rPr>
            </w:pPr>
          </w:p>
        </w:tc>
        <w:tc>
          <w:tcPr>
            <w:tcW w:w="1214" w:type="dxa"/>
            <w:noWrap w:val="0"/>
            <w:vAlign w:val="center"/>
          </w:tcPr>
          <w:p w14:paraId="6D4A3C07">
            <w:pPr>
              <w:ind w:firstLine="592"/>
              <w:jc w:val="center"/>
              <w:rPr>
                <w:rFonts w:hint="eastAsia" w:ascii="宋体" w:hAnsi="宋体" w:eastAsia="宋体" w:cs="宋体"/>
                <w:color w:val="auto"/>
                <w:sz w:val="18"/>
                <w:szCs w:val="18"/>
                <w:highlight w:val="none"/>
              </w:rPr>
            </w:pPr>
          </w:p>
        </w:tc>
        <w:tc>
          <w:tcPr>
            <w:tcW w:w="1500" w:type="dxa"/>
            <w:noWrap w:val="0"/>
            <w:vAlign w:val="center"/>
          </w:tcPr>
          <w:p w14:paraId="43BD5AAE">
            <w:pPr>
              <w:ind w:firstLine="592"/>
              <w:jc w:val="center"/>
              <w:rPr>
                <w:rFonts w:hint="eastAsia" w:ascii="宋体" w:hAnsi="宋体" w:eastAsia="宋体" w:cs="宋体"/>
                <w:color w:val="auto"/>
                <w:sz w:val="18"/>
                <w:szCs w:val="18"/>
                <w:highlight w:val="none"/>
              </w:rPr>
            </w:pPr>
          </w:p>
        </w:tc>
        <w:tc>
          <w:tcPr>
            <w:tcW w:w="1170" w:type="dxa"/>
            <w:noWrap w:val="0"/>
            <w:vAlign w:val="center"/>
          </w:tcPr>
          <w:p w14:paraId="3479A20A">
            <w:pPr>
              <w:ind w:firstLine="592"/>
              <w:jc w:val="center"/>
              <w:rPr>
                <w:rFonts w:hint="eastAsia" w:ascii="宋体" w:hAnsi="宋体" w:eastAsia="宋体" w:cs="宋体"/>
                <w:color w:val="auto"/>
                <w:sz w:val="18"/>
                <w:szCs w:val="18"/>
                <w:highlight w:val="none"/>
              </w:rPr>
            </w:pPr>
          </w:p>
        </w:tc>
        <w:tc>
          <w:tcPr>
            <w:tcW w:w="755" w:type="dxa"/>
            <w:noWrap w:val="0"/>
            <w:vAlign w:val="center"/>
          </w:tcPr>
          <w:p w14:paraId="73526BD8">
            <w:pPr>
              <w:ind w:firstLine="592"/>
              <w:jc w:val="center"/>
              <w:rPr>
                <w:rFonts w:hint="eastAsia" w:ascii="宋体" w:hAnsi="宋体" w:eastAsia="宋体" w:cs="宋体"/>
                <w:color w:val="auto"/>
                <w:sz w:val="18"/>
                <w:szCs w:val="18"/>
                <w:highlight w:val="none"/>
              </w:rPr>
            </w:pPr>
          </w:p>
        </w:tc>
      </w:tr>
      <w:tr w14:paraId="48DE29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74526274">
            <w:pPr>
              <w:ind w:firstLine="592"/>
              <w:jc w:val="center"/>
              <w:rPr>
                <w:rFonts w:hint="eastAsia" w:ascii="宋体" w:hAnsi="宋体" w:eastAsia="宋体" w:cs="宋体"/>
                <w:color w:val="auto"/>
                <w:sz w:val="18"/>
                <w:szCs w:val="18"/>
                <w:highlight w:val="none"/>
              </w:rPr>
            </w:pPr>
          </w:p>
        </w:tc>
        <w:tc>
          <w:tcPr>
            <w:tcW w:w="1134" w:type="dxa"/>
            <w:noWrap w:val="0"/>
            <w:vAlign w:val="center"/>
          </w:tcPr>
          <w:p w14:paraId="11583AF6">
            <w:pPr>
              <w:ind w:firstLine="592"/>
              <w:jc w:val="center"/>
              <w:rPr>
                <w:rFonts w:hint="eastAsia" w:ascii="宋体" w:hAnsi="宋体" w:eastAsia="宋体" w:cs="宋体"/>
                <w:color w:val="auto"/>
                <w:sz w:val="18"/>
                <w:szCs w:val="18"/>
                <w:highlight w:val="none"/>
              </w:rPr>
            </w:pPr>
          </w:p>
        </w:tc>
        <w:tc>
          <w:tcPr>
            <w:tcW w:w="1231" w:type="dxa"/>
            <w:noWrap w:val="0"/>
            <w:vAlign w:val="center"/>
          </w:tcPr>
          <w:p w14:paraId="76479E36">
            <w:pPr>
              <w:ind w:firstLine="592"/>
              <w:jc w:val="center"/>
              <w:rPr>
                <w:rFonts w:hint="eastAsia" w:ascii="宋体" w:hAnsi="宋体" w:eastAsia="宋体" w:cs="宋体"/>
                <w:color w:val="auto"/>
                <w:sz w:val="18"/>
                <w:szCs w:val="18"/>
                <w:highlight w:val="none"/>
              </w:rPr>
            </w:pPr>
          </w:p>
        </w:tc>
        <w:tc>
          <w:tcPr>
            <w:tcW w:w="1214" w:type="dxa"/>
            <w:noWrap w:val="0"/>
            <w:vAlign w:val="center"/>
          </w:tcPr>
          <w:p w14:paraId="7990C8BE">
            <w:pPr>
              <w:ind w:firstLine="592"/>
              <w:jc w:val="center"/>
              <w:rPr>
                <w:rFonts w:hint="eastAsia" w:ascii="宋体" w:hAnsi="宋体" w:eastAsia="宋体" w:cs="宋体"/>
                <w:color w:val="auto"/>
                <w:sz w:val="18"/>
                <w:szCs w:val="18"/>
                <w:highlight w:val="none"/>
              </w:rPr>
            </w:pPr>
          </w:p>
        </w:tc>
        <w:tc>
          <w:tcPr>
            <w:tcW w:w="1500" w:type="dxa"/>
            <w:noWrap w:val="0"/>
            <w:vAlign w:val="center"/>
          </w:tcPr>
          <w:p w14:paraId="0DC01AC9">
            <w:pPr>
              <w:ind w:firstLine="592"/>
              <w:jc w:val="center"/>
              <w:rPr>
                <w:rFonts w:hint="eastAsia" w:ascii="宋体" w:hAnsi="宋体" w:eastAsia="宋体" w:cs="宋体"/>
                <w:color w:val="auto"/>
                <w:sz w:val="18"/>
                <w:szCs w:val="18"/>
                <w:highlight w:val="none"/>
              </w:rPr>
            </w:pPr>
          </w:p>
        </w:tc>
        <w:tc>
          <w:tcPr>
            <w:tcW w:w="1170" w:type="dxa"/>
            <w:noWrap w:val="0"/>
            <w:vAlign w:val="center"/>
          </w:tcPr>
          <w:p w14:paraId="474B79D9">
            <w:pPr>
              <w:ind w:firstLine="592"/>
              <w:jc w:val="center"/>
              <w:rPr>
                <w:rFonts w:hint="eastAsia" w:ascii="宋体" w:hAnsi="宋体" w:eastAsia="宋体" w:cs="宋体"/>
                <w:color w:val="auto"/>
                <w:sz w:val="18"/>
                <w:szCs w:val="18"/>
                <w:highlight w:val="none"/>
              </w:rPr>
            </w:pPr>
          </w:p>
        </w:tc>
        <w:tc>
          <w:tcPr>
            <w:tcW w:w="755" w:type="dxa"/>
            <w:noWrap w:val="0"/>
            <w:vAlign w:val="center"/>
          </w:tcPr>
          <w:p w14:paraId="43996003">
            <w:pPr>
              <w:ind w:firstLine="592"/>
              <w:jc w:val="center"/>
              <w:rPr>
                <w:rFonts w:hint="eastAsia" w:ascii="宋体" w:hAnsi="宋体" w:eastAsia="宋体" w:cs="宋体"/>
                <w:color w:val="auto"/>
                <w:sz w:val="18"/>
                <w:szCs w:val="18"/>
                <w:highlight w:val="none"/>
              </w:rPr>
            </w:pPr>
          </w:p>
        </w:tc>
      </w:tr>
      <w:tr w14:paraId="656CB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428D893A">
            <w:pPr>
              <w:ind w:firstLine="592"/>
              <w:jc w:val="center"/>
              <w:rPr>
                <w:rFonts w:hint="eastAsia" w:ascii="宋体" w:hAnsi="宋体" w:eastAsia="宋体" w:cs="宋体"/>
                <w:color w:val="auto"/>
                <w:sz w:val="18"/>
                <w:szCs w:val="18"/>
                <w:highlight w:val="none"/>
              </w:rPr>
            </w:pPr>
          </w:p>
        </w:tc>
        <w:tc>
          <w:tcPr>
            <w:tcW w:w="1134" w:type="dxa"/>
            <w:noWrap w:val="0"/>
            <w:vAlign w:val="center"/>
          </w:tcPr>
          <w:p w14:paraId="69A2FEB4">
            <w:pPr>
              <w:ind w:firstLine="592"/>
              <w:jc w:val="center"/>
              <w:rPr>
                <w:rFonts w:hint="eastAsia" w:ascii="宋体" w:hAnsi="宋体" w:eastAsia="宋体" w:cs="宋体"/>
                <w:color w:val="auto"/>
                <w:sz w:val="18"/>
                <w:szCs w:val="18"/>
                <w:highlight w:val="none"/>
              </w:rPr>
            </w:pPr>
          </w:p>
        </w:tc>
        <w:tc>
          <w:tcPr>
            <w:tcW w:w="1231" w:type="dxa"/>
            <w:noWrap w:val="0"/>
            <w:vAlign w:val="center"/>
          </w:tcPr>
          <w:p w14:paraId="1F206D9B">
            <w:pPr>
              <w:ind w:firstLine="592"/>
              <w:jc w:val="center"/>
              <w:rPr>
                <w:rFonts w:hint="eastAsia" w:ascii="宋体" w:hAnsi="宋体" w:eastAsia="宋体" w:cs="宋体"/>
                <w:color w:val="auto"/>
                <w:sz w:val="18"/>
                <w:szCs w:val="18"/>
                <w:highlight w:val="none"/>
              </w:rPr>
            </w:pPr>
          </w:p>
        </w:tc>
        <w:tc>
          <w:tcPr>
            <w:tcW w:w="1214" w:type="dxa"/>
            <w:noWrap w:val="0"/>
            <w:vAlign w:val="center"/>
          </w:tcPr>
          <w:p w14:paraId="0D11FF39">
            <w:pPr>
              <w:ind w:firstLine="592"/>
              <w:jc w:val="center"/>
              <w:rPr>
                <w:rFonts w:hint="eastAsia" w:ascii="宋体" w:hAnsi="宋体" w:eastAsia="宋体" w:cs="宋体"/>
                <w:color w:val="auto"/>
                <w:sz w:val="18"/>
                <w:szCs w:val="18"/>
                <w:highlight w:val="none"/>
              </w:rPr>
            </w:pPr>
          </w:p>
        </w:tc>
        <w:tc>
          <w:tcPr>
            <w:tcW w:w="1500" w:type="dxa"/>
            <w:noWrap w:val="0"/>
            <w:vAlign w:val="center"/>
          </w:tcPr>
          <w:p w14:paraId="3E0B8C3F">
            <w:pPr>
              <w:ind w:firstLine="592"/>
              <w:jc w:val="center"/>
              <w:rPr>
                <w:rFonts w:hint="eastAsia" w:ascii="宋体" w:hAnsi="宋体" w:eastAsia="宋体" w:cs="宋体"/>
                <w:color w:val="auto"/>
                <w:sz w:val="18"/>
                <w:szCs w:val="18"/>
                <w:highlight w:val="none"/>
              </w:rPr>
            </w:pPr>
          </w:p>
        </w:tc>
        <w:tc>
          <w:tcPr>
            <w:tcW w:w="1170" w:type="dxa"/>
            <w:noWrap w:val="0"/>
            <w:vAlign w:val="center"/>
          </w:tcPr>
          <w:p w14:paraId="498D9DF0">
            <w:pPr>
              <w:ind w:firstLine="592"/>
              <w:jc w:val="center"/>
              <w:rPr>
                <w:rFonts w:hint="eastAsia" w:ascii="宋体" w:hAnsi="宋体" w:eastAsia="宋体" w:cs="宋体"/>
                <w:color w:val="auto"/>
                <w:sz w:val="18"/>
                <w:szCs w:val="18"/>
                <w:highlight w:val="none"/>
              </w:rPr>
            </w:pPr>
          </w:p>
        </w:tc>
        <w:tc>
          <w:tcPr>
            <w:tcW w:w="755" w:type="dxa"/>
            <w:noWrap w:val="0"/>
            <w:vAlign w:val="center"/>
          </w:tcPr>
          <w:p w14:paraId="68E50012">
            <w:pPr>
              <w:ind w:firstLine="592"/>
              <w:jc w:val="center"/>
              <w:rPr>
                <w:rFonts w:hint="eastAsia" w:ascii="宋体" w:hAnsi="宋体" w:eastAsia="宋体" w:cs="宋体"/>
                <w:color w:val="auto"/>
                <w:sz w:val="18"/>
                <w:szCs w:val="18"/>
                <w:highlight w:val="none"/>
              </w:rPr>
            </w:pPr>
          </w:p>
        </w:tc>
      </w:tr>
      <w:tr w14:paraId="3DEAB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149A509C">
            <w:pPr>
              <w:ind w:firstLine="592"/>
              <w:jc w:val="center"/>
              <w:rPr>
                <w:rFonts w:hint="eastAsia" w:ascii="宋体" w:hAnsi="宋体" w:eastAsia="宋体" w:cs="宋体"/>
                <w:color w:val="auto"/>
                <w:sz w:val="18"/>
                <w:szCs w:val="18"/>
                <w:highlight w:val="none"/>
              </w:rPr>
            </w:pPr>
          </w:p>
        </w:tc>
        <w:tc>
          <w:tcPr>
            <w:tcW w:w="1134" w:type="dxa"/>
            <w:noWrap w:val="0"/>
            <w:vAlign w:val="center"/>
          </w:tcPr>
          <w:p w14:paraId="670B1D21">
            <w:pPr>
              <w:ind w:firstLine="592"/>
              <w:jc w:val="center"/>
              <w:rPr>
                <w:rFonts w:hint="eastAsia" w:ascii="宋体" w:hAnsi="宋体" w:eastAsia="宋体" w:cs="宋体"/>
                <w:color w:val="auto"/>
                <w:sz w:val="18"/>
                <w:szCs w:val="18"/>
                <w:highlight w:val="none"/>
              </w:rPr>
            </w:pPr>
          </w:p>
        </w:tc>
        <w:tc>
          <w:tcPr>
            <w:tcW w:w="1231" w:type="dxa"/>
            <w:noWrap w:val="0"/>
            <w:vAlign w:val="center"/>
          </w:tcPr>
          <w:p w14:paraId="78D543BD">
            <w:pPr>
              <w:ind w:firstLine="592"/>
              <w:jc w:val="center"/>
              <w:rPr>
                <w:rFonts w:hint="eastAsia" w:ascii="宋体" w:hAnsi="宋体" w:eastAsia="宋体" w:cs="宋体"/>
                <w:color w:val="auto"/>
                <w:sz w:val="18"/>
                <w:szCs w:val="18"/>
                <w:highlight w:val="none"/>
              </w:rPr>
            </w:pPr>
          </w:p>
        </w:tc>
        <w:tc>
          <w:tcPr>
            <w:tcW w:w="1214" w:type="dxa"/>
            <w:noWrap w:val="0"/>
            <w:vAlign w:val="center"/>
          </w:tcPr>
          <w:p w14:paraId="2DD96BF8">
            <w:pPr>
              <w:ind w:firstLine="592"/>
              <w:jc w:val="center"/>
              <w:rPr>
                <w:rFonts w:hint="eastAsia" w:ascii="宋体" w:hAnsi="宋体" w:eastAsia="宋体" w:cs="宋体"/>
                <w:color w:val="auto"/>
                <w:sz w:val="18"/>
                <w:szCs w:val="18"/>
                <w:highlight w:val="none"/>
              </w:rPr>
            </w:pPr>
          </w:p>
        </w:tc>
        <w:tc>
          <w:tcPr>
            <w:tcW w:w="1500" w:type="dxa"/>
            <w:noWrap w:val="0"/>
            <w:vAlign w:val="center"/>
          </w:tcPr>
          <w:p w14:paraId="4F281D1D">
            <w:pPr>
              <w:ind w:firstLine="592"/>
              <w:jc w:val="center"/>
              <w:rPr>
                <w:rFonts w:hint="eastAsia" w:ascii="宋体" w:hAnsi="宋体" w:eastAsia="宋体" w:cs="宋体"/>
                <w:color w:val="auto"/>
                <w:sz w:val="18"/>
                <w:szCs w:val="18"/>
                <w:highlight w:val="none"/>
              </w:rPr>
            </w:pPr>
          </w:p>
        </w:tc>
        <w:tc>
          <w:tcPr>
            <w:tcW w:w="1170" w:type="dxa"/>
            <w:noWrap w:val="0"/>
            <w:vAlign w:val="center"/>
          </w:tcPr>
          <w:p w14:paraId="07BA902F">
            <w:pPr>
              <w:ind w:firstLine="592"/>
              <w:jc w:val="center"/>
              <w:rPr>
                <w:rFonts w:hint="eastAsia" w:ascii="宋体" w:hAnsi="宋体" w:eastAsia="宋体" w:cs="宋体"/>
                <w:color w:val="auto"/>
                <w:sz w:val="18"/>
                <w:szCs w:val="18"/>
                <w:highlight w:val="none"/>
              </w:rPr>
            </w:pPr>
          </w:p>
        </w:tc>
        <w:tc>
          <w:tcPr>
            <w:tcW w:w="755" w:type="dxa"/>
            <w:noWrap w:val="0"/>
            <w:vAlign w:val="center"/>
          </w:tcPr>
          <w:p w14:paraId="5BC4B954">
            <w:pPr>
              <w:ind w:firstLine="592"/>
              <w:jc w:val="center"/>
              <w:rPr>
                <w:rFonts w:hint="eastAsia" w:ascii="宋体" w:hAnsi="宋体" w:eastAsia="宋体" w:cs="宋体"/>
                <w:color w:val="auto"/>
                <w:sz w:val="18"/>
                <w:szCs w:val="18"/>
                <w:highlight w:val="none"/>
              </w:rPr>
            </w:pPr>
          </w:p>
        </w:tc>
      </w:tr>
      <w:tr w14:paraId="63DD0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25D3243C">
            <w:pPr>
              <w:ind w:firstLine="592"/>
              <w:jc w:val="center"/>
              <w:rPr>
                <w:rFonts w:hint="eastAsia" w:ascii="宋体" w:hAnsi="宋体" w:eastAsia="宋体" w:cs="宋体"/>
                <w:color w:val="auto"/>
                <w:sz w:val="18"/>
                <w:szCs w:val="18"/>
                <w:highlight w:val="none"/>
              </w:rPr>
            </w:pPr>
          </w:p>
        </w:tc>
        <w:tc>
          <w:tcPr>
            <w:tcW w:w="1134" w:type="dxa"/>
            <w:noWrap w:val="0"/>
            <w:vAlign w:val="center"/>
          </w:tcPr>
          <w:p w14:paraId="0C89EA1F">
            <w:pPr>
              <w:ind w:firstLine="592"/>
              <w:jc w:val="center"/>
              <w:rPr>
                <w:rFonts w:hint="eastAsia" w:ascii="宋体" w:hAnsi="宋体" w:eastAsia="宋体" w:cs="宋体"/>
                <w:color w:val="auto"/>
                <w:sz w:val="18"/>
                <w:szCs w:val="18"/>
                <w:highlight w:val="none"/>
              </w:rPr>
            </w:pPr>
          </w:p>
        </w:tc>
        <w:tc>
          <w:tcPr>
            <w:tcW w:w="1231" w:type="dxa"/>
            <w:noWrap w:val="0"/>
            <w:vAlign w:val="center"/>
          </w:tcPr>
          <w:p w14:paraId="1015C0C3">
            <w:pPr>
              <w:ind w:firstLine="592"/>
              <w:jc w:val="center"/>
              <w:rPr>
                <w:rFonts w:hint="eastAsia" w:ascii="宋体" w:hAnsi="宋体" w:eastAsia="宋体" w:cs="宋体"/>
                <w:color w:val="auto"/>
                <w:sz w:val="18"/>
                <w:szCs w:val="18"/>
                <w:highlight w:val="none"/>
              </w:rPr>
            </w:pPr>
          </w:p>
        </w:tc>
        <w:tc>
          <w:tcPr>
            <w:tcW w:w="1214" w:type="dxa"/>
            <w:noWrap w:val="0"/>
            <w:vAlign w:val="center"/>
          </w:tcPr>
          <w:p w14:paraId="5CEF21B2">
            <w:pPr>
              <w:ind w:firstLine="592"/>
              <w:jc w:val="center"/>
              <w:rPr>
                <w:rFonts w:hint="eastAsia" w:ascii="宋体" w:hAnsi="宋体" w:eastAsia="宋体" w:cs="宋体"/>
                <w:color w:val="auto"/>
                <w:sz w:val="18"/>
                <w:szCs w:val="18"/>
                <w:highlight w:val="none"/>
              </w:rPr>
            </w:pPr>
          </w:p>
        </w:tc>
        <w:tc>
          <w:tcPr>
            <w:tcW w:w="1500" w:type="dxa"/>
            <w:noWrap w:val="0"/>
            <w:vAlign w:val="center"/>
          </w:tcPr>
          <w:p w14:paraId="53DDC045">
            <w:pPr>
              <w:ind w:firstLine="592"/>
              <w:jc w:val="center"/>
              <w:rPr>
                <w:rFonts w:hint="eastAsia" w:ascii="宋体" w:hAnsi="宋体" w:eastAsia="宋体" w:cs="宋体"/>
                <w:color w:val="auto"/>
                <w:sz w:val="18"/>
                <w:szCs w:val="18"/>
                <w:highlight w:val="none"/>
              </w:rPr>
            </w:pPr>
          </w:p>
        </w:tc>
        <w:tc>
          <w:tcPr>
            <w:tcW w:w="1170" w:type="dxa"/>
            <w:noWrap w:val="0"/>
            <w:vAlign w:val="center"/>
          </w:tcPr>
          <w:p w14:paraId="1C43C391">
            <w:pPr>
              <w:ind w:firstLine="592"/>
              <w:jc w:val="center"/>
              <w:rPr>
                <w:rFonts w:hint="eastAsia" w:ascii="宋体" w:hAnsi="宋体" w:eastAsia="宋体" w:cs="宋体"/>
                <w:color w:val="auto"/>
                <w:sz w:val="18"/>
                <w:szCs w:val="18"/>
                <w:highlight w:val="none"/>
              </w:rPr>
            </w:pPr>
          </w:p>
        </w:tc>
        <w:tc>
          <w:tcPr>
            <w:tcW w:w="755" w:type="dxa"/>
            <w:noWrap w:val="0"/>
            <w:vAlign w:val="center"/>
          </w:tcPr>
          <w:p w14:paraId="20B5E21D">
            <w:pPr>
              <w:ind w:firstLine="592"/>
              <w:jc w:val="center"/>
              <w:rPr>
                <w:rFonts w:hint="eastAsia" w:ascii="宋体" w:hAnsi="宋体" w:eastAsia="宋体" w:cs="宋体"/>
                <w:color w:val="auto"/>
                <w:sz w:val="18"/>
                <w:szCs w:val="18"/>
                <w:highlight w:val="none"/>
              </w:rPr>
            </w:pPr>
          </w:p>
        </w:tc>
      </w:tr>
    </w:tbl>
    <w:p w14:paraId="45EFD874">
      <w:pPr>
        <w:spacing w:before="120" w:beforeLines="50"/>
        <w:ind w:left="840" w:right="-11" w:hanging="840" w:hangingChars="400"/>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1. 本表所列为项目所需的装备及工具，请按每种装备、工具分别填写。</w:t>
      </w:r>
    </w:p>
    <w:p w14:paraId="32A29402">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本表中所列装备价格不计入投标总价，但装备的损耗及耗材等需包含在投标总价中。</w:t>
      </w:r>
    </w:p>
    <w:p w14:paraId="7B9C7BAE">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此表仅提供了表格形式，投标人应根据需要准备足够数量的表格来填写。</w:t>
      </w:r>
    </w:p>
    <w:p w14:paraId="6FEC1796">
      <w:pPr>
        <w:rPr>
          <w:rFonts w:hint="eastAsia" w:ascii="宋体" w:hAnsi="宋体" w:eastAsia="宋体" w:cs="宋体"/>
          <w:b/>
          <w:color w:val="auto"/>
          <w:sz w:val="22"/>
          <w:szCs w:val="22"/>
          <w:highlight w:val="none"/>
        </w:rPr>
      </w:pPr>
    </w:p>
    <w:p w14:paraId="6DAC7C77">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57627659">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1CCDD942">
      <w:pPr>
        <w:spacing w:line="36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5794A81C">
      <w:pPr>
        <w:spacing w:line="400" w:lineRule="exact"/>
        <w:rPr>
          <w:rFonts w:hint="eastAsia" w:ascii="宋体" w:hAnsi="宋体" w:eastAsia="宋体" w:cs="宋体"/>
          <w:color w:val="auto"/>
          <w:sz w:val="22"/>
          <w:szCs w:val="22"/>
          <w:highlight w:val="none"/>
        </w:rPr>
      </w:pPr>
    </w:p>
    <w:p w14:paraId="47FF89FF">
      <w:pPr>
        <w:ind w:right="-10"/>
        <w:rPr>
          <w:rFonts w:hint="eastAsia" w:ascii="宋体" w:hAnsi="宋体" w:eastAsia="宋体" w:cs="宋体"/>
          <w:b/>
          <w:bCs/>
          <w:snapToGrid w:val="0"/>
          <w:color w:val="auto"/>
          <w:kern w:val="0"/>
          <w:sz w:val="28"/>
          <w:highlight w:val="none"/>
        </w:rPr>
      </w:pPr>
      <w:bookmarkStart w:id="195" w:name="_Toc336413112"/>
      <w:r>
        <w:rPr>
          <w:rFonts w:hint="eastAsia" w:ascii="宋体" w:hAnsi="宋体" w:eastAsia="宋体" w:cs="宋体"/>
          <w:color w:val="auto"/>
          <w:sz w:val="22"/>
          <w:szCs w:val="22"/>
          <w:highlight w:val="none"/>
        </w:rPr>
        <w:br w:type="page"/>
      </w:r>
      <w:bookmarkEnd w:id="195"/>
      <w:r>
        <w:rPr>
          <w:rFonts w:hint="eastAsia" w:ascii="宋体" w:hAnsi="宋体" w:eastAsia="宋体" w:cs="宋体"/>
          <w:b/>
          <w:snapToGrid w:val="0"/>
          <w:color w:val="auto"/>
          <w:kern w:val="0"/>
          <w:sz w:val="22"/>
          <w:szCs w:val="22"/>
          <w:highlight w:val="none"/>
        </w:rPr>
        <w:t>附件七</w:t>
      </w:r>
    </w:p>
    <w:p w14:paraId="5771AC65">
      <w:pPr>
        <w:ind w:right="-10"/>
        <w:jc w:val="center"/>
        <w:rPr>
          <w:rFonts w:hint="eastAsia" w:ascii="宋体" w:hAnsi="宋体" w:eastAsia="宋体" w:cs="宋体"/>
          <w:b/>
          <w:bCs/>
          <w:snapToGrid w:val="0"/>
          <w:color w:val="auto"/>
          <w:kern w:val="0"/>
          <w:sz w:val="28"/>
          <w:highlight w:val="none"/>
        </w:rPr>
      </w:pPr>
      <w:r>
        <w:rPr>
          <w:rFonts w:hint="eastAsia" w:ascii="宋体" w:hAnsi="宋体" w:eastAsia="宋体" w:cs="宋体"/>
          <w:b/>
          <w:bCs/>
          <w:snapToGrid w:val="0"/>
          <w:color w:val="auto"/>
          <w:kern w:val="0"/>
          <w:sz w:val="28"/>
          <w:highlight w:val="none"/>
        </w:rPr>
        <w:t>拟派项目负责人情况表</w:t>
      </w:r>
    </w:p>
    <w:p w14:paraId="092984C3">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 xml:space="preserve">       </w:t>
      </w:r>
    </w:p>
    <w:p w14:paraId="12D2D0AC">
      <w:pPr>
        <w:ind w:firstLine="1185" w:firstLineChars="539"/>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451"/>
        <w:gridCol w:w="4873"/>
      </w:tblGrid>
      <w:tr w14:paraId="2312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12" w:space="0"/>
              <w:left w:val="single" w:color="auto" w:sz="12" w:space="0"/>
              <w:bottom w:val="single" w:color="auto" w:sz="4" w:space="0"/>
              <w:right w:val="single" w:color="auto" w:sz="4" w:space="0"/>
            </w:tcBorders>
            <w:noWrap w:val="0"/>
            <w:vAlign w:val="center"/>
          </w:tcPr>
          <w:p w14:paraId="30B42C30">
            <w:pPr>
              <w:pStyle w:val="68"/>
              <w:autoSpaceDE w:val="0"/>
              <w:autoSpaceDN w:val="0"/>
              <w:adjustRightInd w:val="0"/>
              <w:spacing w:line="24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noWrap w:val="0"/>
            <w:vAlign w:val="center"/>
          </w:tcPr>
          <w:p w14:paraId="6E9AC3C4">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tcBorders>
              <w:top w:val="single" w:color="auto" w:sz="12" w:space="0"/>
              <w:left w:val="single" w:color="auto" w:sz="4" w:space="0"/>
              <w:bottom w:val="single" w:color="auto" w:sz="4" w:space="0"/>
              <w:right w:val="single" w:color="auto" w:sz="12" w:space="0"/>
            </w:tcBorders>
            <w:noWrap w:val="0"/>
            <w:vAlign w:val="center"/>
          </w:tcPr>
          <w:p w14:paraId="6390356C">
            <w:pPr>
              <w:pStyle w:val="68"/>
              <w:autoSpaceDE w:val="0"/>
              <w:autoSpaceDN w:val="0"/>
              <w:adjustRightInd w:val="0"/>
              <w:spacing w:line="36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近年来主要工作业绩</w:t>
            </w:r>
          </w:p>
        </w:tc>
      </w:tr>
      <w:tr w14:paraId="054D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16FEC121">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1203E465">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restart"/>
            <w:tcBorders>
              <w:top w:val="single" w:color="auto" w:sz="4" w:space="0"/>
              <w:left w:val="single" w:color="auto" w:sz="4" w:space="0"/>
              <w:bottom w:val="single" w:color="auto" w:sz="4" w:space="0"/>
              <w:right w:val="single" w:color="auto" w:sz="12" w:space="0"/>
            </w:tcBorders>
            <w:noWrap w:val="0"/>
            <w:vAlign w:val="center"/>
          </w:tcPr>
          <w:p w14:paraId="77DAEEF5">
            <w:pPr>
              <w:pStyle w:val="69"/>
              <w:widowControl w:val="0"/>
              <w:autoSpaceDE w:val="0"/>
              <w:autoSpaceDN w:val="0"/>
              <w:adjustRightInd w:val="0"/>
              <w:spacing w:before="0" w:beforeAutospacing="0" w:after="0" w:afterAutospacing="0" w:line="360" w:lineRule="auto"/>
              <w:ind w:left="447" w:hanging="447"/>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注：业绩证明应提供旁证材料</w:t>
            </w:r>
          </w:p>
          <w:p w14:paraId="4ADF53BB">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r>
              <w:rPr>
                <w:rFonts w:hint="eastAsia" w:ascii="宋体" w:hAnsi="宋体" w:eastAsia="宋体" w:cs="宋体"/>
                <w:snapToGrid w:val="0"/>
                <w:color w:val="auto"/>
                <w:kern w:val="0"/>
                <w:sz w:val="18"/>
                <w:szCs w:val="18"/>
                <w:highlight w:val="none"/>
              </w:rPr>
              <w:t>（合同或中标通知书）</w:t>
            </w:r>
          </w:p>
        </w:tc>
      </w:tr>
      <w:tr w14:paraId="20CD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0D9E52B5">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3273168C">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14217D55">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6653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70B19E27">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4E0F309E">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35F57DB5">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581B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1892217E">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0D8DFD80">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3799613E">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376D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488F758B">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03A6932B">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20D1172D">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712F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3C89470C">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0CDCAE50">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1438EDFD">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706E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3F26D6FE">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17BCA8AB">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643292C5">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655C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359" w:type="dxa"/>
            <w:tcBorders>
              <w:top w:val="single" w:color="auto" w:sz="4" w:space="0"/>
              <w:left w:val="single" w:color="auto" w:sz="12" w:space="0"/>
              <w:bottom w:val="single" w:color="auto" w:sz="12" w:space="0"/>
              <w:right w:val="single" w:color="auto" w:sz="4" w:space="0"/>
            </w:tcBorders>
            <w:noWrap w:val="0"/>
            <w:vAlign w:val="center"/>
          </w:tcPr>
          <w:p w14:paraId="46D54F1B">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拟在本项目中担任主要工作</w:t>
            </w:r>
          </w:p>
        </w:tc>
        <w:tc>
          <w:tcPr>
            <w:tcW w:w="7324" w:type="dxa"/>
            <w:gridSpan w:val="2"/>
            <w:tcBorders>
              <w:top w:val="single" w:color="auto" w:sz="4" w:space="0"/>
              <w:left w:val="single" w:color="auto" w:sz="4" w:space="0"/>
              <w:bottom w:val="single" w:color="auto" w:sz="12" w:space="0"/>
              <w:right w:val="single" w:color="auto" w:sz="12" w:space="0"/>
            </w:tcBorders>
            <w:noWrap w:val="0"/>
            <w:vAlign w:val="center"/>
          </w:tcPr>
          <w:p w14:paraId="6B05A3F3">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bl>
    <w:p w14:paraId="447CBAEC">
      <w:pPr>
        <w:pStyle w:val="6"/>
        <w:spacing w:line="400" w:lineRule="exact"/>
        <w:ind w:firstLine="442" w:firstLineChars="200"/>
        <w:jc w:val="left"/>
        <w:rPr>
          <w:rFonts w:hint="eastAsia" w:ascii="宋体" w:hAnsi="宋体" w:eastAsia="宋体" w:cs="宋体"/>
          <w:snapToGrid w:val="0"/>
          <w:color w:val="auto"/>
          <w:sz w:val="22"/>
          <w:szCs w:val="22"/>
          <w:highlight w:val="none"/>
        </w:rPr>
      </w:pPr>
      <w:r>
        <w:rPr>
          <w:rFonts w:hint="eastAsia" w:ascii="宋体" w:hAnsi="宋体" w:eastAsia="宋体" w:cs="宋体"/>
          <w:b/>
          <w:snapToGrid w:val="0"/>
          <w:color w:val="auto"/>
          <w:sz w:val="22"/>
          <w:szCs w:val="22"/>
          <w:highlight w:val="none"/>
        </w:rPr>
        <w:t>注：本表后应附人员身份证、在本单位社保证明等复印件</w:t>
      </w:r>
      <w:r>
        <w:rPr>
          <w:rFonts w:hint="eastAsia" w:ascii="宋体" w:hAnsi="宋体" w:eastAsia="宋体" w:cs="宋体"/>
          <w:snapToGrid w:val="0"/>
          <w:color w:val="auto"/>
          <w:sz w:val="22"/>
          <w:szCs w:val="22"/>
          <w:highlight w:val="none"/>
        </w:rPr>
        <w:t>。</w:t>
      </w:r>
    </w:p>
    <w:p w14:paraId="618C29C1">
      <w:pPr>
        <w:pStyle w:val="13"/>
        <w:spacing w:line="400" w:lineRule="atLeast"/>
        <w:ind w:left="660" w:hanging="660" w:hangingChars="300"/>
        <w:rPr>
          <w:rFonts w:hint="eastAsia" w:ascii="宋体" w:hAnsi="宋体" w:eastAsia="宋体" w:cs="宋体"/>
          <w:snapToGrid w:val="0"/>
          <w:color w:val="auto"/>
          <w:sz w:val="22"/>
          <w:szCs w:val="22"/>
          <w:highlight w:val="none"/>
        </w:rPr>
      </w:pPr>
    </w:p>
    <w:p w14:paraId="169E43E0">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14:paraId="1D5428FD">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14:paraId="70C54F69">
      <w:pPr>
        <w:spacing w:line="38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z w:val="21"/>
          <w:szCs w:val="21"/>
          <w:highlight w:val="none"/>
        </w:rPr>
        <w:t>日  期：</w:t>
      </w:r>
    </w:p>
    <w:p w14:paraId="62380C3F">
      <w:pPr>
        <w:spacing w:line="380" w:lineRule="exact"/>
        <w:ind w:firstLine="4400" w:firstLineChars="2000"/>
        <w:rPr>
          <w:rFonts w:hint="eastAsia" w:ascii="宋体" w:hAnsi="宋体" w:eastAsia="宋体" w:cs="宋体"/>
          <w:snapToGrid w:val="0"/>
          <w:color w:val="auto"/>
          <w:kern w:val="0"/>
          <w:sz w:val="22"/>
          <w:szCs w:val="22"/>
          <w:highlight w:val="none"/>
        </w:rPr>
      </w:pPr>
    </w:p>
    <w:p w14:paraId="7ABA3F38">
      <w:pPr>
        <w:spacing w:line="380" w:lineRule="exact"/>
        <w:ind w:firstLine="4400" w:firstLineChars="2000"/>
        <w:rPr>
          <w:rFonts w:hint="eastAsia" w:ascii="宋体" w:hAnsi="宋体" w:eastAsia="宋体" w:cs="宋体"/>
          <w:snapToGrid w:val="0"/>
          <w:color w:val="auto"/>
          <w:kern w:val="0"/>
          <w:sz w:val="22"/>
          <w:szCs w:val="22"/>
          <w:highlight w:val="none"/>
        </w:rPr>
      </w:pPr>
    </w:p>
    <w:p w14:paraId="342DF91C">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br w:type="page"/>
      </w:r>
    </w:p>
    <w:p w14:paraId="5AB4803B">
      <w:pPr>
        <w:spacing w:before="240" w:beforeLines="100" w:after="120" w:afterLines="50" w:line="400" w:lineRule="exact"/>
        <w:jc w:val="left"/>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附件八</w:t>
      </w:r>
    </w:p>
    <w:p w14:paraId="57D57894">
      <w:pPr>
        <w:spacing w:before="240" w:beforeLines="100" w:after="120" w:afterLines="50" w:line="400" w:lineRule="exact"/>
        <w:jc w:val="center"/>
        <w:rPr>
          <w:rFonts w:hint="eastAsia" w:ascii="宋体" w:hAnsi="宋体" w:eastAsia="宋体" w:cs="宋体"/>
          <w:bCs/>
          <w:color w:val="auto"/>
          <w:kern w:val="0"/>
          <w:sz w:val="32"/>
          <w:highlight w:val="none"/>
        </w:rPr>
      </w:pPr>
      <w:r>
        <w:rPr>
          <w:rFonts w:hint="eastAsia" w:ascii="宋体" w:hAnsi="宋体" w:eastAsia="宋体" w:cs="宋体"/>
          <w:b/>
          <w:bCs/>
          <w:color w:val="auto"/>
          <w:kern w:val="0"/>
          <w:sz w:val="30"/>
          <w:highlight w:val="none"/>
        </w:rPr>
        <w:t>项目服务人员汇总表</w:t>
      </w:r>
    </w:p>
    <w:p w14:paraId="47A87337">
      <w:pPr>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948"/>
        <w:gridCol w:w="720"/>
        <w:gridCol w:w="720"/>
        <w:gridCol w:w="780"/>
        <w:gridCol w:w="900"/>
        <w:gridCol w:w="821"/>
        <w:gridCol w:w="1186"/>
        <w:gridCol w:w="2001"/>
      </w:tblGrid>
      <w:tr w14:paraId="3AFD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8" w:type="dxa"/>
            <w:tcBorders>
              <w:top w:val="single" w:color="auto" w:sz="12" w:space="0"/>
              <w:left w:val="single" w:color="auto" w:sz="12" w:space="0"/>
              <w:bottom w:val="single" w:color="auto" w:sz="12" w:space="0"/>
            </w:tcBorders>
            <w:noWrap w:val="0"/>
            <w:vAlign w:val="center"/>
          </w:tcPr>
          <w:p w14:paraId="105FE465">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948" w:type="dxa"/>
            <w:tcBorders>
              <w:top w:val="single" w:color="auto" w:sz="12" w:space="0"/>
              <w:bottom w:val="single" w:color="auto" w:sz="12" w:space="0"/>
            </w:tcBorders>
            <w:noWrap w:val="0"/>
            <w:vAlign w:val="center"/>
          </w:tcPr>
          <w:p w14:paraId="0A1EA4C3">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w:t>
            </w:r>
          </w:p>
          <w:p w14:paraId="4D123079">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主要工作</w:t>
            </w:r>
          </w:p>
        </w:tc>
        <w:tc>
          <w:tcPr>
            <w:tcW w:w="720" w:type="dxa"/>
            <w:tcBorders>
              <w:top w:val="single" w:color="auto" w:sz="12" w:space="0"/>
              <w:bottom w:val="single" w:color="auto" w:sz="12" w:space="0"/>
            </w:tcBorders>
            <w:noWrap w:val="0"/>
            <w:vAlign w:val="center"/>
          </w:tcPr>
          <w:p w14:paraId="192314FE">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年龄</w:t>
            </w:r>
          </w:p>
        </w:tc>
        <w:tc>
          <w:tcPr>
            <w:tcW w:w="720" w:type="dxa"/>
            <w:tcBorders>
              <w:top w:val="single" w:color="auto" w:sz="12" w:space="0"/>
              <w:bottom w:val="single" w:color="auto" w:sz="12" w:space="0"/>
            </w:tcBorders>
            <w:noWrap w:val="0"/>
            <w:vAlign w:val="center"/>
          </w:tcPr>
          <w:p w14:paraId="5401BA00">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性别</w:t>
            </w:r>
          </w:p>
        </w:tc>
        <w:tc>
          <w:tcPr>
            <w:tcW w:w="780" w:type="dxa"/>
            <w:tcBorders>
              <w:top w:val="single" w:color="auto" w:sz="12" w:space="0"/>
              <w:bottom w:val="single" w:color="auto" w:sz="12" w:space="0"/>
              <w:right w:val="single" w:color="auto" w:sz="4" w:space="0"/>
            </w:tcBorders>
            <w:noWrap w:val="0"/>
            <w:vAlign w:val="center"/>
          </w:tcPr>
          <w:p w14:paraId="5193ECC7">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职称/职务</w:t>
            </w:r>
          </w:p>
        </w:tc>
        <w:tc>
          <w:tcPr>
            <w:tcW w:w="900" w:type="dxa"/>
            <w:tcBorders>
              <w:top w:val="single" w:color="auto" w:sz="12" w:space="0"/>
              <w:left w:val="single" w:color="auto" w:sz="4" w:space="0"/>
              <w:bottom w:val="single" w:color="auto" w:sz="12" w:space="0"/>
            </w:tcBorders>
            <w:noWrap w:val="0"/>
            <w:vAlign w:val="center"/>
          </w:tcPr>
          <w:p w14:paraId="4543D9AB">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专业/</w:t>
            </w:r>
          </w:p>
          <w:p w14:paraId="713620F0">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年限</w:t>
            </w:r>
          </w:p>
        </w:tc>
        <w:tc>
          <w:tcPr>
            <w:tcW w:w="821" w:type="dxa"/>
            <w:tcBorders>
              <w:top w:val="single" w:color="auto" w:sz="12" w:space="0"/>
              <w:bottom w:val="single" w:color="auto" w:sz="12" w:space="0"/>
            </w:tcBorders>
            <w:noWrap w:val="0"/>
            <w:vAlign w:val="center"/>
          </w:tcPr>
          <w:p w14:paraId="4AC68741">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承诺</w:t>
            </w:r>
          </w:p>
          <w:p w14:paraId="69E7017D">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到位率</w:t>
            </w:r>
          </w:p>
        </w:tc>
        <w:tc>
          <w:tcPr>
            <w:tcW w:w="1186" w:type="dxa"/>
            <w:tcBorders>
              <w:top w:val="single" w:color="auto" w:sz="12" w:space="0"/>
              <w:bottom w:val="single" w:color="auto" w:sz="12" w:space="0"/>
            </w:tcBorders>
            <w:noWrap w:val="0"/>
            <w:vAlign w:val="center"/>
          </w:tcPr>
          <w:p w14:paraId="4C4098CA">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到现场服务起止时间</w:t>
            </w:r>
          </w:p>
        </w:tc>
        <w:tc>
          <w:tcPr>
            <w:tcW w:w="2001" w:type="dxa"/>
            <w:tcBorders>
              <w:top w:val="single" w:color="auto" w:sz="12" w:space="0"/>
              <w:bottom w:val="single" w:color="auto" w:sz="12" w:space="0"/>
              <w:right w:val="single" w:color="auto" w:sz="12" w:space="0"/>
            </w:tcBorders>
            <w:noWrap w:val="0"/>
            <w:vAlign w:val="center"/>
          </w:tcPr>
          <w:p w14:paraId="20BCE28A">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类似服务的经历、业绩、是否有上岗证等介绍（或另附简历）</w:t>
            </w:r>
          </w:p>
        </w:tc>
      </w:tr>
      <w:tr w14:paraId="07CD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top w:val="single" w:color="auto" w:sz="12" w:space="0"/>
              <w:left w:val="single" w:color="auto" w:sz="12" w:space="0"/>
            </w:tcBorders>
            <w:noWrap w:val="0"/>
            <w:vAlign w:val="center"/>
          </w:tcPr>
          <w:p w14:paraId="55F546BA">
            <w:pPr>
              <w:rPr>
                <w:rFonts w:hint="eastAsia" w:ascii="宋体" w:hAnsi="宋体" w:eastAsia="宋体" w:cs="宋体"/>
                <w:color w:val="auto"/>
                <w:kern w:val="0"/>
                <w:sz w:val="18"/>
                <w:szCs w:val="18"/>
                <w:highlight w:val="none"/>
              </w:rPr>
            </w:pPr>
          </w:p>
        </w:tc>
        <w:tc>
          <w:tcPr>
            <w:tcW w:w="948" w:type="dxa"/>
            <w:tcBorders>
              <w:top w:val="single" w:color="auto" w:sz="12" w:space="0"/>
            </w:tcBorders>
            <w:noWrap w:val="0"/>
            <w:vAlign w:val="center"/>
          </w:tcPr>
          <w:p w14:paraId="466B4756">
            <w:pPr>
              <w:pStyle w:val="58"/>
              <w:widowControl w:val="0"/>
              <w:pBdr>
                <w:left w:val="none" w:color="auto" w:sz="0" w:space="0"/>
                <w:bottom w:val="none" w:color="auto" w:sz="0" w:space="0"/>
                <w:right w:val="none" w:color="auto" w:sz="0" w:space="0"/>
              </w:pBdr>
              <w:spacing w:before="0" w:beforeAutospacing="0" w:after="0" w:afterAutospacing="0"/>
              <w:textAlignment w:val="auto"/>
              <w:rPr>
                <w:rFonts w:hint="eastAsia" w:ascii="宋体" w:hAnsi="宋体" w:eastAsia="宋体" w:cs="宋体"/>
                <w:color w:val="auto"/>
                <w:sz w:val="18"/>
                <w:szCs w:val="18"/>
                <w:highlight w:val="none"/>
              </w:rPr>
            </w:pPr>
          </w:p>
        </w:tc>
        <w:tc>
          <w:tcPr>
            <w:tcW w:w="720" w:type="dxa"/>
            <w:tcBorders>
              <w:top w:val="single" w:color="auto" w:sz="12" w:space="0"/>
            </w:tcBorders>
            <w:noWrap w:val="0"/>
            <w:vAlign w:val="center"/>
          </w:tcPr>
          <w:p w14:paraId="65CE617E">
            <w:pPr>
              <w:rPr>
                <w:rFonts w:hint="eastAsia" w:ascii="宋体" w:hAnsi="宋体" w:eastAsia="宋体" w:cs="宋体"/>
                <w:color w:val="auto"/>
                <w:kern w:val="0"/>
                <w:sz w:val="18"/>
                <w:szCs w:val="18"/>
                <w:highlight w:val="none"/>
              </w:rPr>
            </w:pPr>
          </w:p>
        </w:tc>
        <w:tc>
          <w:tcPr>
            <w:tcW w:w="720" w:type="dxa"/>
            <w:tcBorders>
              <w:top w:val="single" w:color="auto" w:sz="12" w:space="0"/>
            </w:tcBorders>
            <w:noWrap w:val="0"/>
            <w:vAlign w:val="center"/>
          </w:tcPr>
          <w:p w14:paraId="728C0BC0">
            <w:pPr>
              <w:rPr>
                <w:rFonts w:hint="eastAsia" w:ascii="宋体" w:hAnsi="宋体" w:eastAsia="宋体" w:cs="宋体"/>
                <w:color w:val="auto"/>
                <w:kern w:val="0"/>
                <w:sz w:val="18"/>
                <w:szCs w:val="18"/>
                <w:highlight w:val="none"/>
              </w:rPr>
            </w:pPr>
          </w:p>
        </w:tc>
        <w:tc>
          <w:tcPr>
            <w:tcW w:w="780" w:type="dxa"/>
            <w:tcBorders>
              <w:top w:val="single" w:color="auto" w:sz="12" w:space="0"/>
              <w:right w:val="single" w:color="auto" w:sz="4" w:space="0"/>
            </w:tcBorders>
            <w:noWrap w:val="0"/>
            <w:vAlign w:val="center"/>
          </w:tcPr>
          <w:p w14:paraId="710AA8EB">
            <w:pPr>
              <w:rPr>
                <w:rFonts w:hint="eastAsia" w:ascii="宋体" w:hAnsi="宋体" w:eastAsia="宋体" w:cs="宋体"/>
                <w:color w:val="auto"/>
                <w:kern w:val="0"/>
                <w:sz w:val="18"/>
                <w:szCs w:val="18"/>
                <w:highlight w:val="none"/>
              </w:rPr>
            </w:pPr>
          </w:p>
        </w:tc>
        <w:tc>
          <w:tcPr>
            <w:tcW w:w="900" w:type="dxa"/>
            <w:tcBorders>
              <w:top w:val="single" w:color="auto" w:sz="12" w:space="0"/>
              <w:left w:val="single" w:color="auto" w:sz="4" w:space="0"/>
            </w:tcBorders>
            <w:noWrap w:val="0"/>
            <w:vAlign w:val="center"/>
          </w:tcPr>
          <w:p w14:paraId="35760F0F">
            <w:pPr>
              <w:rPr>
                <w:rFonts w:hint="eastAsia" w:ascii="宋体" w:hAnsi="宋体" w:eastAsia="宋体" w:cs="宋体"/>
                <w:color w:val="auto"/>
                <w:kern w:val="0"/>
                <w:sz w:val="18"/>
                <w:szCs w:val="18"/>
                <w:highlight w:val="none"/>
              </w:rPr>
            </w:pPr>
          </w:p>
        </w:tc>
        <w:tc>
          <w:tcPr>
            <w:tcW w:w="821" w:type="dxa"/>
            <w:tcBorders>
              <w:top w:val="single" w:color="auto" w:sz="12" w:space="0"/>
              <w:right w:val="single" w:color="auto" w:sz="4" w:space="0"/>
            </w:tcBorders>
            <w:noWrap w:val="0"/>
            <w:vAlign w:val="center"/>
          </w:tcPr>
          <w:p w14:paraId="5D9EECB8">
            <w:pPr>
              <w:rPr>
                <w:rFonts w:hint="eastAsia" w:ascii="宋体" w:hAnsi="宋体" w:eastAsia="宋体" w:cs="宋体"/>
                <w:color w:val="auto"/>
                <w:kern w:val="0"/>
                <w:sz w:val="18"/>
                <w:szCs w:val="18"/>
                <w:highlight w:val="none"/>
              </w:rPr>
            </w:pPr>
          </w:p>
        </w:tc>
        <w:tc>
          <w:tcPr>
            <w:tcW w:w="1186" w:type="dxa"/>
            <w:tcBorders>
              <w:top w:val="single" w:color="auto" w:sz="12" w:space="0"/>
              <w:left w:val="single" w:color="auto" w:sz="4" w:space="0"/>
              <w:right w:val="single" w:color="auto" w:sz="4" w:space="0"/>
            </w:tcBorders>
            <w:noWrap w:val="0"/>
            <w:vAlign w:val="center"/>
          </w:tcPr>
          <w:p w14:paraId="3D1DCD61">
            <w:pPr>
              <w:rPr>
                <w:rFonts w:hint="eastAsia" w:ascii="宋体" w:hAnsi="宋体" w:eastAsia="宋体" w:cs="宋体"/>
                <w:color w:val="auto"/>
                <w:kern w:val="0"/>
                <w:sz w:val="18"/>
                <w:szCs w:val="18"/>
                <w:highlight w:val="none"/>
              </w:rPr>
            </w:pPr>
          </w:p>
        </w:tc>
        <w:tc>
          <w:tcPr>
            <w:tcW w:w="2001" w:type="dxa"/>
            <w:tcBorders>
              <w:top w:val="single" w:color="auto" w:sz="12" w:space="0"/>
              <w:left w:val="single" w:color="auto" w:sz="4" w:space="0"/>
              <w:right w:val="single" w:color="auto" w:sz="12" w:space="0"/>
            </w:tcBorders>
            <w:noWrap w:val="0"/>
            <w:vAlign w:val="center"/>
          </w:tcPr>
          <w:p w14:paraId="528B7FD3">
            <w:pPr>
              <w:rPr>
                <w:rFonts w:hint="eastAsia" w:ascii="宋体" w:hAnsi="宋体" w:eastAsia="宋体" w:cs="宋体"/>
                <w:color w:val="auto"/>
                <w:kern w:val="0"/>
                <w:sz w:val="18"/>
                <w:szCs w:val="18"/>
                <w:highlight w:val="none"/>
              </w:rPr>
            </w:pPr>
          </w:p>
        </w:tc>
      </w:tr>
      <w:tr w14:paraId="60F6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51FA7E41">
            <w:pPr>
              <w:rPr>
                <w:rFonts w:hint="eastAsia" w:ascii="宋体" w:hAnsi="宋体" w:eastAsia="宋体" w:cs="宋体"/>
                <w:color w:val="auto"/>
                <w:kern w:val="0"/>
                <w:sz w:val="18"/>
                <w:szCs w:val="18"/>
                <w:highlight w:val="none"/>
              </w:rPr>
            </w:pPr>
          </w:p>
        </w:tc>
        <w:tc>
          <w:tcPr>
            <w:tcW w:w="948" w:type="dxa"/>
            <w:noWrap w:val="0"/>
            <w:vAlign w:val="center"/>
          </w:tcPr>
          <w:p w14:paraId="44D48F0F">
            <w:pPr>
              <w:rPr>
                <w:rFonts w:hint="eastAsia" w:ascii="宋体" w:hAnsi="宋体" w:eastAsia="宋体" w:cs="宋体"/>
                <w:color w:val="auto"/>
                <w:kern w:val="0"/>
                <w:sz w:val="18"/>
                <w:szCs w:val="18"/>
                <w:highlight w:val="none"/>
              </w:rPr>
            </w:pPr>
          </w:p>
        </w:tc>
        <w:tc>
          <w:tcPr>
            <w:tcW w:w="720" w:type="dxa"/>
            <w:noWrap w:val="0"/>
            <w:vAlign w:val="center"/>
          </w:tcPr>
          <w:p w14:paraId="4C64F603">
            <w:pPr>
              <w:rPr>
                <w:rFonts w:hint="eastAsia" w:ascii="宋体" w:hAnsi="宋体" w:eastAsia="宋体" w:cs="宋体"/>
                <w:color w:val="auto"/>
                <w:kern w:val="0"/>
                <w:sz w:val="18"/>
                <w:szCs w:val="18"/>
                <w:highlight w:val="none"/>
              </w:rPr>
            </w:pPr>
          </w:p>
        </w:tc>
        <w:tc>
          <w:tcPr>
            <w:tcW w:w="720" w:type="dxa"/>
            <w:noWrap w:val="0"/>
            <w:vAlign w:val="center"/>
          </w:tcPr>
          <w:p w14:paraId="2E6FCD36">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3A67646C">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62B4B7B7">
            <w:pPr>
              <w:rPr>
                <w:rFonts w:hint="eastAsia" w:ascii="宋体" w:hAnsi="宋体" w:eastAsia="宋体" w:cs="宋体"/>
                <w:color w:val="auto"/>
                <w:kern w:val="0"/>
                <w:sz w:val="18"/>
                <w:szCs w:val="18"/>
                <w:highlight w:val="none"/>
              </w:rPr>
            </w:pPr>
          </w:p>
        </w:tc>
        <w:tc>
          <w:tcPr>
            <w:tcW w:w="821" w:type="dxa"/>
            <w:noWrap w:val="0"/>
            <w:vAlign w:val="center"/>
          </w:tcPr>
          <w:p w14:paraId="0744AAF1">
            <w:pPr>
              <w:rPr>
                <w:rFonts w:hint="eastAsia" w:ascii="宋体" w:hAnsi="宋体" w:eastAsia="宋体" w:cs="宋体"/>
                <w:color w:val="auto"/>
                <w:kern w:val="0"/>
                <w:sz w:val="18"/>
                <w:szCs w:val="18"/>
                <w:highlight w:val="none"/>
              </w:rPr>
            </w:pPr>
          </w:p>
        </w:tc>
        <w:tc>
          <w:tcPr>
            <w:tcW w:w="1186" w:type="dxa"/>
            <w:noWrap w:val="0"/>
            <w:vAlign w:val="center"/>
          </w:tcPr>
          <w:p w14:paraId="2D3341EC">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0E318455">
            <w:pPr>
              <w:pStyle w:val="14"/>
              <w:ind w:left="5250"/>
              <w:rPr>
                <w:rFonts w:hint="eastAsia" w:ascii="宋体" w:hAnsi="宋体" w:eastAsia="宋体" w:cs="宋体"/>
                <w:color w:val="auto"/>
                <w:kern w:val="0"/>
                <w:sz w:val="18"/>
                <w:szCs w:val="18"/>
                <w:highlight w:val="none"/>
              </w:rPr>
            </w:pPr>
          </w:p>
        </w:tc>
      </w:tr>
      <w:tr w14:paraId="22A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5E8917ED">
            <w:pPr>
              <w:rPr>
                <w:rFonts w:hint="eastAsia" w:ascii="宋体" w:hAnsi="宋体" w:eastAsia="宋体" w:cs="宋体"/>
                <w:color w:val="auto"/>
                <w:kern w:val="0"/>
                <w:sz w:val="18"/>
                <w:szCs w:val="18"/>
                <w:highlight w:val="none"/>
              </w:rPr>
            </w:pPr>
          </w:p>
        </w:tc>
        <w:tc>
          <w:tcPr>
            <w:tcW w:w="948" w:type="dxa"/>
            <w:noWrap w:val="0"/>
            <w:vAlign w:val="center"/>
          </w:tcPr>
          <w:p w14:paraId="18D12B05">
            <w:pPr>
              <w:rPr>
                <w:rFonts w:hint="eastAsia" w:ascii="宋体" w:hAnsi="宋体" w:eastAsia="宋体" w:cs="宋体"/>
                <w:color w:val="auto"/>
                <w:kern w:val="0"/>
                <w:sz w:val="18"/>
                <w:szCs w:val="18"/>
                <w:highlight w:val="none"/>
              </w:rPr>
            </w:pPr>
          </w:p>
        </w:tc>
        <w:tc>
          <w:tcPr>
            <w:tcW w:w="720" w:type="dxa"/>
            <w:noWrap w:val="0"/>
            <w:vAlign w:val="center"/>
          </w:tcPr>
          <w:p w14:paraId="35DF3E9F">
            <w:pPr>
              <w:rPr>
                <w:rFonts w:hint="eastAsia" w:ascii="宋体" w:hAnsi="宋体" w:eastAsia="宋体" w:cs="宋体"/>
                <w:color w:val="auto"/>
                <w:kern w:val="0"/>
                <w:sz w:val="18"/>
                <w:szCs w:val="18"/>
                <w:highlight w:val="none"/>
              </w:rPr>
            </w:pPr>
          </w:p>
        </w:tc>
        <w:tc>
          <w:tcPr>
            <w:tcW w:w="720" w:type="dxa"/>
            <w:noWrap w:val="0"/>
            <w:vAlign w:val="center"/>
          </w:tcPr>
          <w:p w14:paraId="754BC453">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6CBE6647">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5F0989DF">
            <w:pPr>
              <w:rPr>
                <w:rFonts w:hint="eastAsia" w:ascii="宋体" w:hAnsi="宋体" w:eastAsia="宋体" w:cs="宋体"/>
                <w:color w:val="auto"/>
                <w:kern w:val="0"/>
                <w:sz w:val="18"/>
                <w:szCs w:val="18"/>
                <w:highlight w:val="none"/>
              </w:rPr>
            </w:pPr>
          </w:p>
        </w:tc>
        <w:tc>
          <w:tcPr>
            <w:tcW w:w="821" w:type="dxa"/>
            <w:noWrap w:val="0"/>
            <w:vAlign w:val="center"/>
          </w:tcPr>
          <w:p w14:paraId="19FB2876">
            <w:pPr>
              <w:rPr>
                <w:rFonts w:hint="eastAsia" w:ascii="宋体" w:hAnsi="宋体" w:eastAsia="宋体" w:cs="宋体"/>
                <w:color w:val="auto"/>
                <w:kern w:val="0"/>
                <w:sz w:val="18"/>
                <w:szCs w:val="18"/>
                <w:highlight w:val="none"/>
              </w:rPr>
            </w:pPr>
          </w:p>
        </w:tc>
        <w:tc>
          <w:tcPr>
            <w:tcW w:w="1186" w:type="dxa"/>
            <w:noWrap w:val="0"/>
            <w:vAlign w:val="center"/>
          </w:tcPr>
          <w:p w14:paraId="2BACE87F">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243DB857">
            <w:pPr>
              <w:rPr>
                <w:rFonts w:hint="eastAsia" w:ascii="宋体" w:hAnsi="宋体" w:eastAsia="宋体" w:cs="宋体"/>
                <w:color w:val="auto"/>
                <w:kern w:val="0"/>
                <w:sz w:val="18"/>
                <w:szCs w:val="18"/>
                <w:highlight w:val="none"/>
              </w:rPr>
            </w:pPr>
          </w:p>
        </w:tc>
      </w:tr>
      <w:tr w14:paraId="2E00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27FA7ECA">
            <w:pPr>
              <w:rPr>
                <w:rFonts w:hint="eastAsia" w:ascii="宋体" w:hAnsi="宋体" w:eastAsia="宋体" w:cs="宋体"/>
                <w:color w:val="auto"/>
                <w:kern w:val="0"/>
                <w:sz w:val="18"/>
                <w:szCs w:val="18"/>
                <w:highlight w:val="none"/>
              </w:rPr>
            </w:pPr>
          </w:p>
        </w:tc>
        <w:tc>
          <w:tcPr>
            <w:tcW w:w="948" w:type="dxa"/>
            <w:noWrap w:val="0"/>
            <w:vAlign w:val="center"/>
          </w:tcPr>
          <w:p w14:paraId="32551A2A">
            <w:pPr>
              <w:rPr>
                <w:rFonts w:hint="eastAsia" w:ascii="宋体" w:hAnsi="宋体" w:eastAsia="宋体" w:cs="宋体"/>
                <w:color w:val="auto"/>
                <w:kern w:val="0"/>
                <w:sz w:val="18"/>
                <w:szCs w:val="18"/>
                <w:highlight w:val="none"/>
              </w:rPr>
            </w:pPr>
          </w:p>
        </w:tc>
        <w:tc>
          <w:tcPr>
            <w:tcW w:w="720" w:type="dxa"/>
            <w:noWrap w:val="0"/>
            <w:vAlign w:val="center"/>
          </w:tcPr>
          <w:p w14:paraId="66F59121">
            <w:pPr>
              <w:rPr>
                <w:rFonts w:hint="eastAsia" w:ascii="宋体" w:hAnsi="宋体" w:eastAsia="宋体" w:cs="宋体"/>
                <w:color w:val="auto"/>
                <w:kern w:val="0"/>
                <w:sz w:val="18"/>
                <w:szCs w:val="18"/>
                <w:highlight w:val="none"/>
              </w:rPr>
            </w:pPr>
          </w:p>
        </w:tc>
        <w:tc>
          <w:tcPr>
            <w:tcW w:w="720" w:type="dxa"/>
            <w:noWrap w:val="0"/>
            <w:vAlign w:val="center"/>
          </w:tcPr>
          <w:p w14:paraId="7E6D21FE">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2C4E1771">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34EDB198">
            <w:pPr>
              <w:rPr>
                <w:rFonts w:hint="eastAsia" w:ascii="宋体" w:hAnsi="宋体" w:eastAsia="宋体" w:cs="宋体"/>
                <w:color w:val="auto"/>
                <w:kern w:val="0"/>
                <w:sz w:val="18"/>
                <w:szCs w:val="18"/>
                <w:highlight w:val="none"/>
              </w:rPr>
            </w:pPr>
          </w:p>
        </w:tc>
        <w:tc>
          <w:tcPr>
            <w:tcW w:w="821" w:type="dxa"/>
            <w:noWrap w:val="0"/>
            <w:vAlign w:val="center"/>
          </w:tcPr>
          <w:p w14:paraId="741CF7FF">
            <w:pPr>
              <w:rPr>
                <w:rFonts w:hint="eastAsia" w:ascii="宋体" w:hAnsi="宋体" w:eastAsia="宋体" w:cs="宋体"/>
                <w:color w:val="auto"/>
                <w:kern w:val="0"/>
                <w:sz w:val="18"/>
                <w:szCs w:val="18"/>
                <w:highlight w:val="none"/>
              </w:rPr>
            </w:pPr>
          </w:p>
        </w:tc>
        <w:tc>
          <w:tcPr>
            <w:tcW w:w="1186" w:type="dxa"/>
            <w:noWrap w:val="0"/>
            <w:vAlign w:val="center"/>
          </w:tcPr>
          <w:p w14:paraId="0D3682BF">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059F3CAC">
            <w:pPr>
              <w:rPr>
                <w:rFonts w:hint="eastAsia" w:ascii="宋体" w:hAnsi="宋体" w:eastAsia="宋体" w:cs="宋体"/>
                <w:color w:val="auto"/>
                <w:kern w:val="0"/>
                <w:sz w:val="18"/>
                <w:szCs w:val="18"/>
                <w:highlight w:val="none"/>
              </w:rPr>
            </w:pPr>
          </w:p>
        </w:tc>
      </w:tr>
      <w:tr w14:paraId="16DE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06E5A036">
            <w:pPr>
              <w:rPr>
                <w:rFonts w:hint="eastAsia" w:ascii="宋体" w:hAnsi="宋体" w:eastAsia="宋体" w:cs="宋体"/>
                <w:color w:val="auto"/>
                <w:kern w:val="0"/>
                <w:sz w:val="18"/>
                <w:szCs w:val="18"/>
                <w:highlight w:val="none"/>
              </w:rPr>
            </w:pPr>
          </w:p>
        </w:tc>
        <w:tc>
          <w:tcPr>
            <w:tcW w:w="948" w:type="dxa"/>
            <w:noWrap w:val="0"/>
            <w:vAlign w:val="center"/>
          </w:tcPr>
          <w:p w14:paraId="53474203">
            <w:pPr>
              <w:rPr>
                <w:rFonts w:hint="eastAsia" w:ascii="宋体" w:hAnsi="宋体" w:eastAsia="宋体" w:cs="宋体"/>
                <w:color w:val="auto"/>
                <w:kern w:val="0"/>
                <w:sz w:val="18"/>
                <w:szCs w:val="18"/>
                <w:highlight w:val="none"/>
              </w:rPr>
            </w:pPr>
          </w:p>
        </w:tc>
        <w:tc>
          <w:tcPr>
            <w:tcW w:w="720" w:type="dxa"/>
            <w:noWrap w:val="0"/>
            <w:vAlign w:val="center"/>
          </w:tcPr>
          <w:p w14:paraId="5D3E8359">
            <w:pPr>
              <w:rPr>
                <w:rFonts w:hint="eastAsia" w:ascii="宋体" w:hAnsi="宋体" w:eastAsia="宋体" w:cs="宋体"/>
                <w:color w:val="auto"/>
                <w:kern w:val="0"/>
                <w:sz w:val="18"/>
                <w:szCs w:val="18"/>
                <w:highlight w:val="none"/>
              </w:rPr>
            </w:pPr>
          </w:p>
        </w:tc>
        <w:tc>
          <w:tcPr>
            <w:tcW w:w="720" w:type="dxa"/>
            <w:noWrap w:val="0"/>
            <w:vAlign w:val="center"/>
          </w:tcPr>
          <w:p w14:paraId="6759DB84">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4B849A8F">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7B378154">
            <w:pPr>
              <w:rPr>
                <w:rFonts w:hint="eastAsia" w:ascii="宋体" w:hAnsi="宋体" w:eastAsia="宋体" w:cs="宋体"/>
                <w:color w:val="auto"/>
                <w:kern w:val="0"/>
                <w:sz w:val="18"/>
                <w:szCs w:val="18"/>
                <w:highlight w:val="none"/>
              </w:rPr>
            </w:pPr>
          </w:p>
        </w:tc>
        <w:tc>
          <w:tcPr>
            <w:tcW w:w="821" w:type="dxa"/>
            <w:noWrap w:val="0"/>
            <w:vAlign w:val="center"/>
          </w:tcPr>
          <w:p w14:paraId="46DE413B">
            <w:pPr>
              <w:rPr>
                <w:rFonts w:hint="eastAsia" w:ascii="宋体" w:hAnsi="宋体" w:eastAsia="宋体" w:cs="宋体"/>
                <w:color w:val="auto"/>
                <w:kern w:val="0"/>
                <w:sz w:val="18"/>
                <w:szCs w:val="18"/>
                <w:highlight w:val="none"/>
              </w:rPr>
            </w:pPr>
          </w:p>
        </w:tc>
        <w:tc>
          <w:tcPr>
            <w:tcW w:w="1186" w:type="dxa"/>
            <w:noWrap w:val="0"/>
            <w:vAlign w:val="center"/>
          </w:tcPr>
          <w:p w14:paraId="31B2CA5A">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0B5E8048">
            <w:pPr>
              <w:rPr>
                <w:rFonts w:hint="eastAsia" w:ascii="宋体" w:hAnsi="宋体" w:eastAsia="宋体" w:cs="宋体"/>
                <w:color w:val="auto"/>
                <w:kern w:val="0"/>
                <w:sz w:val="18"/>
                <w:szCs w:val="18"/>
                <w:highlight w:val="none"/>
              </w:rPr>
            </w:pPr>
          </w:p>
        </w:tc>
      </w:tr>
      <w:tr w14:paraId="0C69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74B5D2D6">
            <w:pPr>
              <w:rPr>
                <w:rFonts w:hint="eastAsia" w:ascii="宋体" w:hAnsi="宋体" w:eastAsia="宋体" w:cs="宋体"/>
                <w:color w:val="auto"/>
                <w:kern w:val="0"/>
                <w:sz w:val="18"/>
                <w:szCs w:val="18"/>
                <w:highlight w:val="none"/>
              </w:rPr>
            </w:pPr>
          </w:p>
        </w:tc>
        <w:tc>
          <w:tcPr>
            <w:tcW w:w="948" w:type="dxa"/>
            <w:noWrap w:val="0"/>
            <w:vAlign w:val="center"/>
          </w:tcPr>
          <w:p w14:paraId="4D394A50">
            <w:pPr>
              <w:rPr>
                <w:rFonts w:hint="eastAsia" w:ascii="宋体" w:hAnsi="宋体" w:eastAsia="宋体" w:cs="宋体"/>
                <w:color w:val="auto"/>
                <w:kern w:val="0"/>
                <w:sz w:val="18"/>
                <w:szCs w:val="18"/>
                <w:highlight w:val="none"/>
              </w:rPr>
            </w:pPr>
          </w:p>
        </w:tc>
        <w:tc>
          <w:tcPr>
            <w:tcW w:w="720" w:type="dxa"/>
            <w:noWrap w:val="0"/>
            <w:vAlign w:val="center"/>
          </w:tcPr>
          <w:p w14:paraId="530DFB08">
            <w:pPr>
              <w:rPr>
                <w:rFonts w:hint="eastAsia" w:ascii="宋体" w:hAnsi="宋体" w:eastAsia="宋体" w:cs="宋体"/>
                <w:color w:val="auto"/>
                <w:kern w:val="0"/>
                <w:sz w:val="18"/>
                <w:szCs w:val="18"/>
                <w:highlight w:val="none"/>
              </w:rPr>
            </w:pPr>
          </w:p>
        </w:tc>
        <w:tc>
          <w:tcPr>
            <w:tcW w:w="720" w:type="dxa"/>
            <w:noWrap w:val="0"/>
            <w:vAlign w:val="center"/>
          </w:tcPr>
          <w:p w14:paraId="36F0484E">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4DAC0695">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6B8F5063">
            <w:pPr>
              <w:rPr>
                <w:rFonts w:hint="eastAsia" w:ascii="宋体" w:hAnsi="宋体" w:eastAsia="宋体" w:cs="宋体"/>
                <w:color w:val="auto"/>
                <w:kern w:val="0"/>
                <w:sz w:val="18"/>
                <w:szCs w:val="18"/>
                <w:highlight w:val="none"/>
              </w:rPr>
            </w:pPr>
          </w:p>
        </w:tc>
        <w:tc>
          <w:tcPr>
            <w:tcW w:w="821" w:type="dxa"/>
            <w:noWrap w:val="0"/>
            <w:vAlign w:val="center"/>
          </w:tcPr>
          <w:p w14:paraId="5CAD058D">
            <w:pPr>
              <w:rPr>
                <w:rFonts w:hint="eastAsia" w:ascii="宋体" w:hAnsi="宋体" w:eastAsia="宋体" w:cs="宋体"/>
                <w:color w:val="auto"/>
                <w:kern w:val="0"/>
                <w:sz w:val="18"/>
                <w:szCs w:val="18"/>
                <w:highlight w:val="none"/>
              </w:rPr>
            </w:pPr>
          </w:p>
        </w:tc>
        <w:tc>
          <w:tcPr>
            <w:tcW w:w="1186" w:type="dxa"/>
            <w:noWrap w:val="0"/>
            <w:vAlign w:val="center"/>
          </w:tcPr>
          <w:p w14:paraId="1A52DDAF">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4DEA5189">
            <w:pPr>
              <w:rPr>
                <w:rFonts w:hint="eastAsia" w:ascii="宋体" w:hAnsi="宋体" w:eastAsia="宋体" w:cs="宋体"/>
                <w:color w:val="auto"/>
                <w:kern w:val="0"/>
                <w:sz w:val="18"/>
                <w:szCs w:val="18"/>
                <w:highlight w:val="none"/>
              </w:rPr>
            </w:pPr>
          </w:p>
        </w:tc>
      </w:tr>
      <w:tr w14:paraId="2770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25C5116D">
            <w:pPr>
              <w:rPr>
                <w:rFonts w:hint="eastAsia" w:ascii="宋体" w:hAnsi="宋体" w:eastAsia="宋体" w:cs="宋体"/>
                <w:color w:val="auto"/>
                <w:kern w:val="0"/>
                <w:sz w:val="18"/>
                <w:szCs w:val="18"/>
                <w:highlight w:val="none"/>
              </w:rPr>
            </w:pPr>
          </w:p>
        </w:tc>
        <w:tc>
          <w:tcPr>
            <w:tcW w:w="948" w:type="dxa"/>
            <w:noWrap w:val="0"/>
            <w:vAlign w:val="center"/>
          </w:tcPr>
          <w:p w14:paraId="627E9DAA">
            <w:pPr>
              <w:rPr>
                <w:rFonts w:hint="eastAsia" w:ascii="宋体" w:hAnsi="宋体" w:eastAsia="宋体" w:cs="宋体"/>
                <w:color w:val="auto"/>
                <w:kern w:val="0"/>
                <w:sz w:val="18"/>
                <w:szCs w:val="18"/>
                <w:highlight w:val="none"/>
              </w:rPr>
            </w:pPr>
          </w:p>
        </w:tc>
        <w:tc>
          <w:tcPr>
            <w:tcW w:w="720" w:type="dxa"/>
            <w:noWrap w:val="0"/>
            <w:vAlign w:val="center"/>
          </w:tcPr>
          <w:p w14:paraId="4C9F614A">
            <w:pPr>
              <w:rPr>
                <w:rFonts w:hint="eastAsia" w:ascii="宋体" w:hAnsi="宋体" w:eastAsia="宋体" w:cs="宋体"/>
                <w:color w:val="auto"/>
                <w:kern w:val="0"/>
                <w:sz w:val="18"/>
                <w:szCs w:val="18"/>
                <w:highlight w:val="none"/>
              </w:rPr>
            </w:pPr>
          </w:p>
        </w:tc>
        <w:tc>
          <w:tcPr>
            <w:tcW w:w="720" w:type="dxa"/>
            <w:noWrap w:val="0"/>
            <w:vAlign w:val="center"/>
          </w:tcPr>
          <w:p w14:paraId="30DFB81A">
            <w:pPr>
              <w:rPr>
                <w:rFonts w:hint="eastAsia" w:ascii="宋体" w:hAnsi="宋体" w:eastAsia="宋体" w:cs="宋体"/>
                <w:color w:val="auto"/>
                <w:kern w:val="0"/>
                <w:sz w:val="18"/>
                <w:szCs w:val="18"/>
                <w:highlight w:val="none"/>
              </w:rPr>
            </w:pPr>
          </w:p>
        </w:tc>
        <w:tc>
          <w:tcPr>
            <w:tcW w:w="780" w:type="dxa"/>
            <w:noWrap w:val="0"/>
            <w:vAlign w:val="center"/>
          </w:tcPr>
          <w:p w14:paraId="5DA051BE">
            <w:pPr>
              <w:rPr>
                <w:rFonts w:hint="eastAsia" w:ascii="宋体" w:hAnsi="宋体" w:eastAsia="宋体" w:cs="宋体"/>
                <w:color w:val="auto"/>
                <w:kern w:val="0"/>
                <w:sz w:val="18"/>
                <w:szCs w:val="18"/>
                <w:highlight w:val="none"/>
              </w:rPr>
            </w:pPr>
          </w:p>
        </w:tc>
        <w:tc>
          <w:tcPr>
            <w:tcW w:w="900" w:type="dxa"/>
            <w:noWrap w:val="0"/>
            <w:vAlign w:val="center"/>
          </w:tcPr>
          <w:p w14:paraId="35072A78">
            <w:pPr>
              <w:rPr>
                <w:rFonts w:hint="eastAsia" w:ascii="宋体" w:hAnsi="宋体" w:eastAsia="宋体" w:cs="宋体"/>
                <w:color w:val="auto"/>
                <w:kern w:val="0"/>
                <w:sz w:val="18"/>
                <w:szCs w:val="18"/>
                <w:highlight w:val="none"/>
              </w:rPr>
            </w:pPr>
          </w:p>
        </w:tc>
        <w:tc>
          <w:tcPr>
            <w:tcW w:w="821" w:type="dxa"/>
            <w:noWrap w:val="0"/>
            <w:vAlign w:val="center"/>
          </w:tcPr>
          <w:p w14:paraId="200E9738">
            <w:pPr>
              <w:rPr>
                <w:rFonts w:hint="eastAsia" w:ascii="宋体" w:hAnsi="宋体" w:eastAsia="宋体" w:cs="宋体"/>
                <w:color w:val="auto"/>
                <w:kern w:val="0"/>
                <w:sz w:val="18"/>
                <w:szCs w:val="18"/>
                <w:highlight w:val="none"/>
              </w:rPr>
            </w:pPr>
          </w:p>
        </w:tc>
        <w:tc>
          <w:tcPr>
            <w:tcW w:w="1186" w:type="dxa"/>
            <w:noWrap w:val="0"/>
            <w:vAlign w:val="center"/>
          </w:tcPr>
          <w:p w14:paraId="189C997A">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45077C15">
            <w:pPr>
              <w:rPr>
                <w:rFonts w:hint="eastAsia" w:ascii="宋体" w:hAnsi="宋体" w:eastAsia="宋体" w:cs="宋体"/>
                <w:color w:val="auto"/>
                <w:kern w:val="0"/>
                <w:sz w:val="18"/>
                <w:szCs w:val="18"/>
                <w:highlight w:val="none"/>
              </w:rPr>
            </w:pPr>
          </w:p>
        </w:tc>
      </w:tr>
      <w:tr w14:paraId="5C8D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0B6B5FB7">
            <w:pPr>
              <w:rPr>
                <w:rFonts w:hint="eastAsia" w:ascii="宋体" w:hAnsi="宋体" w:eastAsia="宋体" w:cs="宋体"/>
                <w:color w:val="auto"/>
                <w:kern w:val="0"/>
                <w:sz w:val="18"/>
                <w:szCs w:val="18"/>
                <w:highlight w:val="none"/>
              </w:rPr>
            </w:pPr>
          </w:p>
        </w:tc>
        <w:tc>
          <w:tcPr>
            <w:tcW w:w="948" w:type="dxa"/>
            <w:noWrap w:val="0"/>
            <w:vAlign w:val="center"/>
          </w:tcPr>
          <w:p w14:paraId="207AD49E">
            <w:pPr>
              <w:rPr>
                <w:rFonts w:hint="eastAsia" w:ascii="宋体" w:hAnsi="宋体" w:eastAsia="宋体" w:cs="宋体"/>
                <w:color w:val="auto"/>
                <w:kern w:val="0"/>
                <w:sz w:val="18"/>
                <w:szCs w:val="18"/>
                <w:highlight w:val="none"/>
              </w:rPr>
            </w:pPr>
          </w:p>
        </w:tc>
        <w:tc>
          <w:tcPr>
            <w:tcW w:w="720" w:type="dxa"/>
            <w:noWrap w:val="0"/>
            <w:vAlign w:val="center"/>
          </w:tcPr>
          <w:p w14:paraId="307B2AAE">
            <w:pPr>
              <w:rPr>
                <w:rFonts w:hint="eastAsia" w:ascii="宋体" w:hAnsi="宋体" w:eastAsia="宋体" w:cs="宋体"/>
                <w:color w:val="auto"/>
                <w:kern w:val="0"/>
                <w:sz w:val="18"/>
                <w:szCs w:val="18"/>
                <w:highlight w:val="none"/>
              </w:rPr>
            </w:pPr>
          </w:p>
        </w:tc>
        <w:tc>
          <w:tcPr>
            <w:tcW w:w="720" w:type="dxa"/>
            <w:noWrap w:val="0"/>
            <w:vAlign w:val="center"/>
          </w:tcPr>
          <w:p w14:paraId="2B784943">
            <w:pPr>
              <w:rPr>
                <w:rFonts w:hint="eastAsia" w:ascii="宋体" w:hAnsi="宋体" w:eastAsia="宋体" w:cs="宋体"/>
                <w:color w:val="auto"/>
                <w:kern w:val="0"/>
                <w:sz w:val="18"/>
                <w:szCs w:val="18"/>
                <w:highlight w:val="none"/>
              </w:rPr>
            </w:pPr>
          </w:p>
        </w:tc>
        <w:tc>
          <w:tcPr>
            <w:tcW w:w="780" w:type="dxa"/>
            <w:noWrap w:val="0"/>
            <w:vAlign w:val="center"/>
          </w:tcPr>
          <w:p w14:paraId="36EAA894">
            <w:pPr>
              <w:rPr>
                <w:rFonts w:hint="eastAsia" w:ascii="宋体" w:hAnsi="宋体" w:eastAsia="宋体" w:cs="宋体"/>
                <w:color w:val="auto"/>
                <w:kern w:val="0"/>
                <w:sz w:val="18"/>
                <w:szCs w:val="18"/>
                <w:highlight w:val="none"/>
              </w:rPr>
            </w:pPr>
          </w:p>
        </w:tc>
        <w:tc>
          <w:tcPr>
            <w:tcW w:w="900" w:type="dxa"/>
            <w:noWrap w:val="0"/>
            <w:vAlign w:val="center"/>
          </w:tcPr>
          <w:p w14:paraId="53DCE1E5">
            <w:pPr>
              <w:rPr>
                <w:rFonts w:hint="eastAsia" w:ascii="宋体" w:hAnsi="宋体" w:eastAsia="宋体" w:cs="宋体"/>
                <w:color w:val="auto"/>
                <w:kern w:val="0"/>
                <w:sz w:val="18"/>
                <w:szCs w:val="18"/>
                <w:highlight w:val="none"/>
              </w:rPr>
            </w:pPr>
          </w:p>
        </w:tc>
        <w:tc>
          <w:tcPr>
            <w:tcW w:w="821" w:type="dxa"/>
            <w:noWrap w:val="0"/>
            <w:vAlign w:val="center"/>
          </w:tcPr>
          <w:p w14:paraId="7107897C">
            <w:pPr>
              <w:rPr>
                <w:rFonts w:hint="eastAsia" w:ascii="宋体" w:hAnsi="宋体" w:eastAsia="宋体" w:cs="宋体"/>
                <w:color w:val="auto"/>
                <w:kern w:val="0"/>
                <w:sz w:val="18"/>
                <w:szCs w:val="18"/>
                <w:highlight w:val="none"/>
              </w:rPr>
            </w:pPr>
          </w:p>
        </w:tc>
        <w:tc>
          <w:tcPr>
            <w:tcW w:w="1186" w:type="dxa"/>
            <w:noWrap w:val="0"/>
            <w:vAlign w:val="center"/>
          </w:tcPr>
          <w:p w14:paraId="7DDE5533">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42DC4873">
            <w:pPr>
              <w:rPr>
                <w:rFonts w:hint="eastAsia" w:ascii="宋体" w:hAnsi="宋体" w:eastAsia="宋体" w:cs="宋体"/>
                <w:color w:val="auto"/>
                <w:kern w:val="0"/>
                <w:sz w:val="18"/>
                <w:szCs w:val="18"/>
                <w:highlight w:val="none"/>
              </w:rPr>
            </w:pPr>
          </w:p>
        </w:tc>
      </w:tr>
      <w:tr w14:paraId="11D1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2049B48F">
            <w:pPr>
              <w:rPr>
                <w:rFonts w:hint="eastAsia" w:ascii="宋体" w:hAnsi="宋体" w:eastAsia="宋体" w:cs="宋体"/>
                <w:color w:val="auto"/>
                <w:kern w:val="0"/>
                <w:sz w:val="18"/>
                <w:szCs w:val="18"/>
                <w:highlight w:val="none"/>
              </w:rPr>
            </w:pPr>
          </w:p>
        </w:tc>
        <w:tc>
          <w:tcPr>
            <w:tcW w:w="948" w:type="dxa"/>
            <w:noWrap w:val="0"/>
            <w:vAlign w:val="center"/>
          </w:tcPr>
          <w:p w14:paraId="2ED8AAAD">
            <w:pPr>
              <w:rPr>
                <w:rFonts w:hint="eastAsia" w:ascii="宋体" w:hAnsi="宋体" w:eastAsia="宋体" w:cs="宋体"/>
                <w:color w:val="auto"/>
                <w:kern w:val="0"/>
                <w:sz w:val="18"/>
                <w:szCs w:val="18"/>
                <w:highlight w:val="none"/>
              </w:rPr>
            </w:pPr>
          </w:p>
        </w:tc>
        <w:tc>
          <w:tcPr>
            <w:tcW w:w="720" w:type="dxa"/>
            <w:noWrap w:val="0"/>
            <w:vAlign w:val="center"/>
          </w:tcPr>
          <w:p w14:paraId="53E4FE25">
            <w:pPr>
              <w:rPr>
                <w:rFonts w:hint="eastAsia" w:ascii="宋体" w:hAnsi="宋体" w:eastAsia="宋体" w:cs="宋体"/>
                <w:color w:val="auto"/>
                <w:kern w:val="0"/>
                <w:sz w:val="18"/>
                <w:szCs w:val="18"/>
                <w:highlight w:val="none"/>
              </w:rPr>
            </w:pPr>
          </w:p>
        </w:tc>
        <w:tc>
          <w:tcPr>
            <w:tcW w:w="720" w:type="dxa"/>
            <w:noWrap w:val="0"/>
            <w:vAlign w:val="center"/>
          </w:tcPr>
          <w:p w14:paraId="0DFB8D5E">
            <w:pPr>
              <w:rPr>
                <w:rFonts w:hint="eastAsia" w:ascii="宋体" w:hAnsi="宋体" w:eastAsia="宋体" w:cs="宋体"/>
                <w:color w:val="auto"/>
                <w:kern w:val="0"/>
                <w:sz w:val="18"/>
                <w:szCs w:val="18"/>
                <w:highlight w:val="none"/>
              </w:rPr>
            </w:pPr>
          </w:p>
        </w:tc>
        <w:tc>
          <w:tcPr>
            <w:tcW w:w="780" w:type="dxa"/>
            <w:noWrap w:val="0"/>
            <w:vAlign w:val="center"/>
          </w:tcPr>
          <w:p w14:paraId="16B132FE">
            <w:pPr>
              <w:rPr>
                <w:rFonts w:hint="eastAsia" w:ascii="宋体" w:hAnsi="宋体" w:eastAsia="宋体" w:cs="宋体"/>
                <w:color w:val="auto"/>
                <w:kern w:val="0"/>
                <w:sz w:val="18"/>
                <w:szCs w:val="18"/>
                <w:highlight w:val="none"/>
              </w:rPr>
            </w:pPr>
          </w:p>
        </w:tc>
        <w:tc>
          <w:tcPr>
            <w:tcW w:w="900" w:type="dxa"/>
            <w:noWrap w:val="0"/>
            <w:vAlign w:val="center"/>
          </w:tcPr>
          <w:p w14:paraId="656343C3">
            <w:pPr>
              <w:rPr>
                <w:rFonts w:hint="eastAsia" w:ascii="宋体" w:hAnsi="宋体" w:eastAsia="宋体" w:cs="宋体"/>
                <w:color w:val="auto"/>
                <w:kern w:val="0"/>
                <w:sz w:val="18"/>
                <w:szCs w:val="18"/>
                <w:highlight w:val="none"/>
              </w:rPr>
            </w:pPr>
          </w:p>
        </w:tc>
        <w:tc>
          <w:tcPr>
            <w:tcW w:w="821" w:type="dxa"/>
            <w:noWrap w:val="0"/>
            <w:vAlign w:val="center"/>
          </w:tcPr>
          <w:p w14:paraId="0CD4D8D8">
            <w:pPr>
              <w:rPr>
                <w:rFonts w:hint="eastAsia" w:ascii="宋体" w:hAnsi="宋体" w:eastAsia="宋体" w:cs="宋体"/>
                <w:color w:val="auto"/>
                <w:kern w:val="0"/>
                <w:sz w:val="18"/>
                <w:szCs w:val="18"/>
                <w:highlight w:val="none"/>
              </w:rPr>
            </w:pPr>
          </w:p>
        </w:tc>
        <w:tc>
          <w:tcPr>
            <w:tcW w:w="1186" w:type="dxa"/>
            <w:noWrap w:val="0"/>
            <w:vAlign w:val="center"/>
          </w:tcPr>
          <w:p w14:paraId="46A3D67A">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3E07EBC7">
            <w:pPr>
              <w:rPr>
                <w:rFonts w:hint="eastAsia" w:ascii="宋体" w:hAnsi="宋体" w:eastAsia="宋体" w:cs="宋体"/>
                <w:color w:val="auto"/>
                <w:kern w:val="0"/>
                <w:sz w:val="18"/>
                <w:szCs w:val="18"/>
                <w:highlight w:val="none"/>
              </w:rPr>
            </w:pPr>
          </w:p>
        </w:tc>
      </w:tr>
      <w:tr w14:paraId="09D1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052BFDDC">
            <w:pPr>
              <w:rPr>
                <w:rFonts w:hint="eastAsia" w:ascii="宋体" w:hAnsi="宋体" w:eastAsia="宋体" w:cs="宋体"/>
                <w:color w:val="auto"/>
                <w:kern w:val="0"/>
                <w:sz w:val="18"/>
                <w:szCs w:val="18"/>
                <w:highlight w:val="none"/>
              </w:rPr>
            </w:pPr>
          </w:p>
        </w:tc>
        <w:tc>
          <w:tcPr>
            <w:tcW w:w="948" w:type="dxa"/>
            <w:noWrap w:val="0"/>
            <w:vAlign w:val="center"/>
          </w:tcPr>
          <w:p w14:paraId="37C9BB51">
            <w:pPr>
              <w:rPr>
                <w:rFonts w:hint="eastAsia" w:ascii="宋体" w:hAnsi="宋体" w:eastAsia="宋体" w:cs="宋体"/>
                <w:color w:val="auto"/>
                <w:kern w:val="0"/>
                <w:sz w:val="18"/>
                <w:szCs w:val="18"/>
                <w:highlight w:val="none"/>
              </w:rPr>
            </w:pPr>
          </w:p>
        </w:tc>
        <w:tc>
          <w:tcPr>
            <w:tcW w:w="720" w:type="dxa"/>
            <w:noWrap w:val="0"/>
            <w:vAlign w:val="center"/>
          </w:tcPr>
          <w:p w14:paraId="24F4EF4D">
            <w:pPr>
              <w:rPr>
                <w:rFonts w:hint="eastAsia" w:ascii="宋体" w:hAnsi="宋体" w:eastAsia="宋体" w:cs="宋体"/>
                <w:color w:val="auto"/>
                <w:kern w:val="0"/>
                <w:sz w:val="18"/>
                <w:szCs w:val="18"/>
                <w:highlight w:val="none"/>
              </w:rPr>
            </w:pPr>
          </w:p>
        </w:tc>
        <w:tc>
          <w:tcPr>
            <w:tcW w:w="720" w:type="dxa"/>
            <w:noWrap w:val="0"/>
            <w:vAlign w:val="center"/>
          </w:tcPr>
          <w:p w14:paraId="7AFBA7E2">
            <w:pPr>
              <w:rPr>
                <w:rFonts w:hint="eastAsia" w:ascii="宋体" w:hAnsi="宋体" w:eastAsia="宋体" w:cs="宋体"/>
                <w:color w:val="auto"/>
                <w:kern w:val="0"/>
                <w:sz w:val="18"/>
                <w:szCs w:val="18"/>
                <w:highlight w:val="none"/>
              </w:rPr>
            </w:pPr>
          </w:p>
        </w:tc>
        <w:tc>
          <w:tcPr>
            <w:tcW w:w="780" w:type="dxa"/>
            <w:noWrap w:val="0"/>
            <w:vAlign w:val="center"/>
          </w:tcPr>
          <w:p w14:paraId="361D07BA">
            <w:pPr>
              <w:rPr>
                <w:rFonts w:hint="eastAsia" w:ascii="宋体" w:hAnsi="宋体" w:eastAsia="宋体" w:cs="宋体"/>
                <w:color w:val="auto"/>
                <w:kern w:val="0"/>
                <w:sz w:val="18"/>
                <w:szCs w:val="18"/>
                <w:highlight w:val="none"/>
              </w:rPr>
            </w:pPr>
          </w:p>
        </w:tc>
        <w:tc>
          <w:tcPr>
            <w:tcW w:w="900" w:type="dxa"/>
            <w:noWrap w:val="0"/>
            <w:vAlign w:val="center"/>
          </w:tcPr>
          <w:p w14:paraId="10AD9BC4">
            <w:pPr>
              <w:rPr>
                <w:rFonts w:hint="eastAsia" w:ascii="宋体" w:hAnsi="宋体" w:eastAsia="宋体" w:cs="宋体"/>
                <w:color w:val="auto"/>
                <w:kern w:val="0"/>
                <w:sz w:val="18"/>
                <w:szCs w:val="18"/>
                <w:highlight w:val="none"/>
              </w:rPr>
            </w:pPr>
          </w:p>
        </w:tc>
        <w:tc>
          <w:tcPr>
            <w:tcW w:w="821" w:type="dxa"/>
            <w:noWrap w:val="0"/>
            <w:vAlign w:val="center"/>
          </w:tcPr>
          <w:p w14:paraId="3BC6858B">
            <w:pPr>
              <w:rPr>
                <w:rFonts w:hint="eastAsia" w:ascii="宋体" w:hAnsi="宋体" w:eastAsia="宋体" w:cs="宋体"/>
                <w:color w:val="auto"/>
                <w:kern w:val="0"/>
                <w:sz w:val="18"/>
                <w:szCs w:val="18"/>
                <w:highlight w:val="none"/>
              </w:rPr>
            </w:pPr>
          </w:p>
        </w:tc>
        <w:tc>
          <w:tcPr>
            <w:tcW w:w="1186" w:type="dxa"/>
            <w:noWrap w:val="0"/>
            <w:vAlign w:val="center"/>
          </w:tcPr>
          <w:p w14:paraId="27EA5529">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5D2EDDC9">
            <w:pPr>
              <w:rPr>
                <w:rFonts w:hint="eastAsia" w:ascii="宋体" w:hAnsi="宋体" w:eastAsia="宋体" w:cs="宋体"/>
                <w:color w:val="auto"/>
                <w:kern w:val="0"/>
                <w:sz w:val="18"/>
                <w:szCs w:val="18"/>
                <w:highlight w:val="none"/>
              </w:rPr>
            </w:pPr>
          </w:p>
        </w:tc>
      </w:tr>
      <w:tr w14:paraId="6731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4CB70A0A">
            <w:pPr>
              <w:rPr>
                <w:rFonts w:hint="eastAsia" w:ascii="宋体" w:hAnsi="宋体" w:eastAsia="宋体" w:cs="宋体"/>
                <w:color w:val="auto"/>
                <w:kern w:val="0"/>
                <w:sz w:val="18"/>
                <w:szCs w:val="18"/>
                <w:highlight w:val="none"/>
              </w:rPr>
            </w:pPr>
          </w:p>
        </w:tc>
        <w:tc>
          <w:tcPr>
            <w:tcW w:w="948" w:type="dxa"/>
            <w:noWrap w:val="0"/>
            <w:vAlign w:val="center"/>
          </w:tcPr>
          <w:p w14:paraId="4818487B">
            <w:pPr>
              <w:rPr>
                <w:rFonts w:hint="eastAsia" w:ascii="宋体" w:hAnsi="宋体" w:eastAsia="宋体" w:cs="宋体"/>
                <w:color w:val="auto"/>
                <w:kern w:val="0"/>
                <w:sz w:val="18"/>
                <w:szCs w:val="18"/>
                <w:highlight w:val="none"/>
              </w:rPr>
            </w:pPr>
          </w:p>
        </w:tc>
        <w:tc>
          <w:tcPr>
            <w:tcW w:w="720" w:type="dxa"/>
            <w:noWrap w:val="0"/>
            <w:vAlign w:val="center"/>
          </w:tcPr>
          <w:p w14:paraId="0D9CBB17">
            <w:pPr>
              <w:rPr>
                <w:rFonts w:hint="eastAsia" w:ascii="宋体" w:hAnsi="宋体" w:eastAsia="宋体" w:cs="宋体"/>
                <w:color w:val="auto"/>
                <w:kern w:val="0"/>
                <w:sz w:val="18"/>
                <w:szCs w:val="18"/>
                <w:highlight w:val="none"/>
              </w:rPr>
            </w:pPr>
          </w:p>
        </w:tc>
        <w:tc>
          <w:tcPr>
            <w:tcW w:w="720" w:type="dxa"/>
            <w:noWrap w:val="0"/>
            <w:vAlign w:val="center"/>
          </w:tcPr>
          <w:p w14:paraId="136FEFB4">
            <w:pPr>
              <w:rPr>
                <w:rFonts w:hint="eastAsia" w:ascii="宋体" w:hAnsi="宋体" w:eastAsia="宋体" w:cs="宋体"/>
                <w:color w:val="auto"/>
                <w:kern w:val="0"/>
                <w:sz w:val="18"/>
                <w:szCs w:val="18"/>
                <w:highlight w:val="none"/>
              </w:rPr>
            </w:pPr>
          </w:p>
        </w:tc>
        <w:tc>
          <w:tcPr>
            <w:tcW w:w="780" w:type="dxa"/>
            <w:noWrap w:val="0"/>
            <w:vAlign w:val="center"/>
          </w:tcPr>
          <w:p w14:paraId="7B858BE9">
            <w:pPr>
              <w:rPr>
                <w:rFonts w:hint="eastAsia" w:ascii="宋体" w:hAnsi="宋体" w:eastAsia="宋体" w:cs="宋体"/>
                <w:color w:val="auto"/>
                <w:kern w:val="0"/>
                <w:sz w:val="18"/>
                <w:szCs w:val="18"/>
                <w:highlight w:val="none"/>
              </w:rPr>
            </w:pPr>
          </w:p>
        </w:tc>
        <w:tc>
          <w:tcPr>
            <w:tcW w:w="900" w:type="dxa"/>
            <w:noWrap w:val="0"/>
            <w:vAlign w:val="center"/>
          </w:tcPr>
          <w:p w14:paraId="4789868D">
            <w:pPr>
              <w:rPr>
                <w:rFonts w:hint="eastAsia" w:ascii="宋体" w:hAnsi="宋体" w:eastAsia="宋体" w:cs="宋体"/>
                <w:color w:val="auto"/>
                <w:kern w:val="0"/>
                <w:sz w:val="18"/>
                <w:szCs w:val="18"/>
                <w:highlight w:val="none"/>
              </w:rPr>
            </w:pPr>
          </w:p>
        </w:tc>
        <w:tc>
          <w:tcPr>
            <w:tcW w:w="821" w:type="dxa"/>
            <w:noWrap w:val="0"/>
            <w:vAlign w:val="center"/>
          </w:tcPr>
          <w:p w14:paraId="2139C249">
            <w:pPr>
              <w:rPr>
                <w:rFonts w:hint="eastAsia" w:ascii="宋体" w:hAnsi="宋体" w:eastAsia="宋体" w:cs="宋体"/>
                <w:color w:val="auto"/>
                <w:kern w:val="0"/>
                <w:sz w:val="18"/>
                <w:szCs w:val="18"/>
                <w:highlight w:val="none"/>
              </w:rPr>
            </w:pPr>
          </w:p>
        </w:tc>
        <w:tc>
          <w:tcPr>
            <w:tcW w:w="1186" w:type="dxa"/>
            <w:noWrap w:val="0"/>
            <w:vAlign w:val="center"/>
          </w:tcPr>
          <w:p w14:paraId="3639680F">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253727C5">
            <w:pPr>
              <w:rPr>
                <w:rFonts w:hint="eastAsia" w:ascii="宋体" w:hAnsi="宋体" w:eastAsia="宋体" w:cs="宋体"/>
                <w:color w:val="auto"/>
                <w:kern w:val="0"/>
                <w:sz w:val="18"/>
                <w:szCs w:val="18"/>
                <w:highlight w:val="none"/>
              </w:rPr>
            </w:pPr>
          </w:p>
        </w:tc>
      </w:tr>
      <w:tr w14:paraId="5C0C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45F732B0">
            <w:pPr>
              <w:rPr>
                <w:rFonts w:hint="eastAsia" w:ascii="宋体" w:hAnsi="宋体" w:eastAsia="宋体" w:cs="宋体"/>
                <w:color w:val="auto"/>
                <w:kern w:val="0"/>
                <w:sz w:val="18"/>
                <w:szCs w:val="18"/>
                <w:highlight w:val="none"/>
              </w:rPr>
            </w:pPr>
          </w:p>
        </w:tc>
        <w:tc>
          <w:tcPr>
            <w:tcW w:w="948" w:type="dxa"/>
            <w:noWrap w:val="0"/>
            <w:vAlign w:val="center"/>
          </w:tcPr>
          <w:p w14:paraId="4D3D52C4">
            <w:pPr>
              <w:rPr>
                <w:rFonts w:hint="eastAsia" w:ascii="宋体" w:hAnsi="宋体" w:eastAsia="宋体" w:cs="宋体"/>
                <w:color w:val="auto"/>
                <w:kern w:val="0"/>
                <w:sz w:val="18"/>
                <w:szCs w:val="18"/>
                <w:highlight w:val="none"/>
              </w:rPr>
            </w:pPr>
          </w:p>
        </w:tc>
        <w:tc>
          <w:tcPr>
            <w:tcW w:w="720" w:type="dxa"/>
            <w:noWrap w:val="0"/>
            <w:vAlign w:val="center"/>
          </w:tcPr>
          <w:p w14:paraId="5CC09072">
            <w:pPr>
              <w:rPr>
                <w:rFonts w:hint="eastAsia" w:ascii="宋体" w:hAnsi="宋体" w:eastAsia="宋体" w:cs="宋体"/>
                <w:color w:val="auto"/>
                <w:kern w:val="0"/>
                <w:sz w:val="18"/>
                <w:szCs w:val="18"/>
                <w:highlight w:val="none"/>
              </w:rPr>
            </w:pPr>
          </w:p>
        </w:tc>
        <w:tc>
          <w:tcPr>
            <w:tcW w:w="720" w:type="dxa"/>
            <w:noWrap w:val="0"/>
            <w:vAlign w:val="center"/>
          </w:tcPr>
          <w:p w14:paraId="4C46153B">
            <w:pPr>
              <w:rPr>
                <w:rFonts w:hint="eastAsia" w:ascii="宋体" w:hAnsi="宋体" w:eastAsia="宋体" w:cs="宋体"/>
                <w:color w:val="auto"/>
                <w:kern w:val="0"/>
                <w:sz w:val="18"/>
                <w:szCs w:val="18"/>
                <w:highlight w:val="none"/>
              </w:rPr>
            </w:pPr>
          </w:p>
        </w:tc>
        <w:tc>
          <w:tcPr>
            <w:tcW w:w="780" w:type="dxa"/>
            <w:noWrap w:val="0"/>
            <w:vAlign w:val="center"/>
          </w:tcPr>
          <w:p w14:paraId="1D74CDDD">
            <w:pPr>
              <w:rPr>
                <w:rFonts w:hint="eastAsia" w:ascii="宋体" w:hAnsi="宋体" w:eastAsia="宋体" w:cs="宋体"/>
                <w:color w:val="auto"/>
                <w:kern w:val="0"/>
                <w:sz w:val="18"/>
                <w:szCs w:val="18"/>
                <w:highlight w:val="none"/>
              </w:rPr>
            </w:pPr>
          </w:p>
        </w:tc>
        <w:tc>
          <w:tcPr>
            <w:tcW w:w="900" w:type="dxa"/>
            <w:noWrap w:val="0"/>
            <w:vAlign w:val="center"/>
          </w:tcPr>
          <w:p w14:paraId="4E6F1F22">
            <w:pPr>
              <w:rPr>
                <w:rFonts w:hint="eastAsia" w:ascii="宋体" w:hAnsi="宋体" w:eastAsia="宋体" w:cs="宋体"/>
                <w:color w:val="auto"/>
                <w:kern w:val="0"/>
                <w:sz w:val="18"/>
                <w:szCs w:val="18"/>
                <w:highlight w:val="none"/>
              </w:rPr>
            </w:pPr>
          </w:p>
        </w:tc>
        <w:tc>
          <w:tcPr>
            <w:tcW w:w="821" w:type="dxa"/>
            <w:noWrap w:val="0"/>
            <w:vAlign w:val="center"/>
          </w:tcPr>
          <w:p w14:paraId="270C1686">
            <w:pPr>
              <w:rPr>
                <w:rFonts w:hint="eastAsia" w:ascii="宋体" w:hAnsi="宋体" w:eastAsia="宋体" w:cs="宋体"/>
                <w:color w:val="auto"/>
                <w:kern w:val="0"/>
                <w:sz w:val="18"/>
                <w:szCs w:val="18"/>
                <w:highlight w:val="none"/>
              </w:rPr>
            </w:pPr>
          </w:p>
        </w:tc>
        <w:tc>
          <w:tcPr>
            <w:tcW w:w="1186" w:type="dxa"/>
            <w:noWrap w:val="0"/>
            <w:vAlign w:val="center"/>
          </w:tcPr>
          <w:p w14:paraId="1177B3E2">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65100B1E">
            <w:pPr>
              <w:rPr>
                <w:rFonts w:hint="eastAsia" w:ascii="宋体" w:hAnsi="宋体" w:eastAsia="宋体" w:cs="宋体"/>
                <w:color w:val="auto"/>
                <w:kern w:val="0"/>
                <w:sz w:val="18"/>
                <w:szCs w:val="18"/>
                <w:highlight w:val="none"/>
              </w:rPr>
            </w:pPr>
          </w:p>
        </w:tc>
      </w:tr>
      <w:tr w14:paraId="6F9C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56AA9D14">
            <w:pPr>
              <w:rPr>
                <w:rFonts w:hint="eastAsia" w:ascii="宋体" w:hAnsi="宋体" w:eastAsia="宋体" w:cs="宋体"/>
                <w:color w:val="auto"/>
                <w:kern w:val="0"/>
                <w:sz w:val="18"/>
                <w:szCs w:val="18"/>
                <w:highlight w:val="none"/>
              </w:rPr>
            </w:pPr>
          </w:p>
        </w:tc>
        <w:tc>
          <w:tcPr>
            <w:tcW w:w="948" w:type="dxa"/>
            <w:noWrap w:val="0"/>
            <w:vAlign w:val="center"/>
          </w:tcPr>
          <w:p w14:paraId="75966874">
            <w:pPr>
              <w:rPr>
                <w:rFonts w:hint="eastAsia" w:ascii="宋体" w:hAnsi="宋体" w:eastAsia="宋体" w:cs="宋体"/>
                <w:color w:val="auto"/>
                <w:kern w:val="0"/>
                <w:sz w:val="18"/>
                <w:szCs w:val="18"/>
                <w:highlight w:val="none"/>
              </w:rPr>
            </w:pPr>
          </w:p>
        </w:tc>
        <w:tc>
          <w:tcPr>
            <w:tcW w:w="720" w:type="dxa"/>
            <w:noWrap w:val="0"/>
            <w:vAlign w:val="center"/>
          </w:tcPr>
          <w:p w14:paraId="0B858BF1">
            <w:pPr>
              <w:rPr>
                <w:rFonts w:hint="eastAsia" w:ascii="宋体" w:hAnsi="宋体" w:eastAsia="宋体" w:cs="宋体"/>
                <w:color w:val="auto"/>
                <w:kern w:val="0"/>
                <w:sz w:val="18"/>
                <w:szCs w:val="18"/>
                <w:highlight w:val="none"/>
              </w:rPr>
            </w:pPr>
          </w:p>
        </w:tc>
        <w:tc>
          <w:tcPr>
            <w:tcW w:w="720" w:type="dxa"/>
            <w:noWrap w:val="0"/>
            <w:vAlign w:val="center"/>
          </w:tcPr>
          <w:p w14:paraId="7BE26F09">
            <w:pPr>
              <w:rPr>
                <w:rFonts w:hint="eastAsia" w:ascii="宋体" w:hAnsi="宋体" w:eastAsia="宋体" w:cs="宋体"/>
                <w:color w:val="auto"/>
                <w:kern w:val="0"/>
                <w:sz w:val="18"/>
                <w:szCs w:val="18"/>
                <w:highlight w:val="none"/>
              </w:rPr>
            </w:pPr>
          </w:p>
        </w:tc>
        <w:tc>
          <w:tcPr>
            <w:tcW w:w="780" w:type="dxa"/>
            <w:noWrap w:val="0"/>
            <w:vAlign w:val="center"/>
          </w:tcPr>
          <w:p w14:paraId="1FD974CD">
            <w:pPr>
              <w:rPr>
                <w:rFonts w:hint="eastAsia" w:ascii="宋体" w:hAnsi="宋体" w:eastAsia="宋体" w:cs="宋体"/>
                <w:color w:val="auto"/>
                <w:kern w:val="0"/>
                <w:sz w:val="18"/>
                <w:szCs w:val="18"/>
                <w:highlight w:val="none"/>
              </w:rPr>
            </w:pPr>
          </w:p>
        </w:tc>
        <w:tc>
          <w:tcPr>
            <w:tcW w:w="900" w:type="dxa"/>
            <w:noWrap w:val="0"/>
            <w:vAlign w:val="center"/>
          </w:tcPr>
          <w:p w14:paraId="56AEB1C2">
            <w:pPr>
              <w:rPr>
                <w:rFonts w:hint="eastAsia" w:ascii="宋体" w:hAnsi="宋体" w:eastAsia="宋体" w:cs="宋体"/>
                <w:color w:val="auto"/>
                <w:kern w:val="0"/>
                <w:sz w:val="18"/>
                <w:szCs w:val="18"/>
                <w:highlight w:val="none"/>
              </w:rPr>
            </w:pPr>
          </w:p>
        </w:tc>
        <w:tc>
          <w:tcPr>
            <w:tcW w:w="821" w:type="dxa"/>
            <w:noWrap w:val="0"/>
            <w:vAlign w:val="center"/>
          </w:tcPr>
          <w:p w14:paraId="2184C6B7">
            <w:pPr>
              <w:rPr>
                <w:rFonts w:hint="eastAsia" w:ascii="宋体" w:hAnsi="宋体" w:eastAsia="宋体" w:cs="宋体"/>
                <w:color w:val="auto"/>
                <w:kern w:val="0"/>
                <w:sz w:val="18"/>
                <w:szCs w:val="18"/>
                <w:highlight w:val="none"/>
              </w:rPr>
            </w:pPr>
          </w:p>
        </w:tc>
        <w:tc>
          <w:tcPr>
            <w:tcW w:w="1186" w:type="dxa"/>
            <w:noWrap w:val="0"/>
            <w:vAlign w:val="center"/>
          </w:tcPr>
          <w:p w14:paraId="350C3D02">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2048E18C">
            <w:pPr>
              <w:rPr>
                <w:rFonts w:hint="eastAsia" w:ascii="宋体" w:hAnsi="宋体" w:eastAsia="宋体" w:cs="宋体"/>
                <w:color w:val="auto"/>
                <w:kern w:val="0"/>
                <w:sz w:val="18"/>
                <w:szCs w:val="18"/>
                <w:highlight w:val="none"/>
              </w:rPr>
            </w:pPr>
          </w:p>
        </w:tc>
      </w:tr>
      <w:tr w14:paraId="4464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104" w:type="dxa"/>
            <w:gridSpan w:val="9"/>
            <w:tcBorders>
              <w:left w:val="single" w:color="auto" w:sz="12" w:space="0"/>
              <w:bottom w:val="single" w:color="auto" w:sz="12" w:space="0"/>
              <w:right w:val="single" w:color="auto" w:sz="12" w:space="0"/>
            </w:tcBorders>
            <w:noWrap w:val="0"/>
            <w:vAlign w:val="center"/>
          </w:tcPr>
          <w:p w14:paraId="535553A3">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一旦我单位中标，将实行</w:t>
            </w:r>
            <w:r>
              <w:rPr>
                <w:rFonts w:hint="eastAsia" w:ascii="宋体" w:hAnsi="宋体" w:eastAsia="宋体" w:cs="宋体"/>
                <w:color w:val="auto"/>
                <w:kern w:val="0"/>
                <w:sz w:val="18"/>
                <w:szCs w:val="18"/>
                <w:highlight w:val="none"/>
                <w:lang w:eastAsia="zh-CN"/>
              </w:rPr>
              <w:t>物业经理</w:t>
            </w:r>
            <w:r>
              <w:rPr>
                <w:rFonts w:hint="eastAsia" w:ascii="宋体" w:hAnsi="宋体" w:eastAsia="宋体" w:cs="宋体"/>
                <w:color w:val="auto"/>
                <w:kern w:val="0"/>
                <w:sz w:val="18"/>
                <w:szCs w:val="18"/>
                <w:highlight w:val="none"/>
              </w:rPr>
              <w:t>（负责人）负责制，我方保证并配备上述项目管理机构。上述填报内容真实，若不真实，愿按有关规定接受处理。</w:t>
            </w:r>
          </w:p>
        </w:tc>
      </w:tr>
    </w:tbl>
    <w:p w14:paraId="2ABFF9EF">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w:t>
      </w:r>
      <w:r>
        <w:rPr>
          <w:rFonts w:hint="eastAsia" w:ascii="宋体" w:hAnsi="宋体" w:eastAsia="宋体" w:cs="宋体"/>
          <w:color w:val="auto"/>
          <w:highlight w:val="none"/>
          <w:lang w:val="en-US" w:eastAsia="zh-CN"/>
        </w:rPr>
        <w:t>本表格可暂时只填写项目管理人员的，驻守保安人员如已明确的也可填入本表，未明确的驻守人员可在表述中明确招聘标准及到岗时间</w:t>
      </w:r>
      <w:r>
        <w:rPr>
          <w:rFonts w:hint="eastAsia" w:ascii="宋体" w:hAnsi="宋体" w:eastAsia="宋体" w:cs="宋体"/>
          <w:color w:val="auto"/>
          <w:highlight w:val="none"/>
        </w:rPr>
        <w:t>；</w:t>
      </w:r>
    </w:p>
    <w:p w14:paraId="3CA7B884">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2、本表人员有资格证书的应随表提交职称、资格证书复印件（加盖公章）。</w:t>
      </w:r>
    </w:p>
    <w:p w14:paraId="3DDB8D55">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3、列入本表人员如要更换，需经</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单位同意；擅自更换或不到位属违约行为。</w:t>
      </w:r>
    </w:p>
    <w:p w14:paraId="09861455">
      <w:pPr>
        <w:spacing w:line="360" w:lineRule="auto"/>
        <w:rPr>
          <w:rFonts w:hint="eastAsia" w:ascii="宋体" w:hAnsi="宋体" w:eastAsia="宋体" w:cs="宋体"/>
          <w:sz w:val="21"/>
          <w:szCs w:val="21"/>
          <w:highlight w:val="none"/>
        </w:rPr>
      </w:pPr>
    </w:p>
    <w:p w14:paraId="1DCBBE3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14:paraId="22C39A7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14:paraId="7B616134">
      <w:pPr>
        <w:spacing w:line="360" w:lineRule="auto"/>
        <w:jc w:val="both"/>
        <w:rPr>
          <w:rFonts w:hint="eastAsia" w:ascii="宋体" w:hAnsi="宋体" w:eastAsia="宋体" w:cs="宋体"/>
          <w:b/>
          <w:color w:val="auto"/>
          <w:sz w:val="48"/>
          <w:szCs w:val="48"/>
          <w:highlight w:val="none"/>
        </w:rPr>
      </w:pPr>
      <w:r>
        <w:rPr>
          <w:rFonts w:hint="eastAsia" w:ascii="宋体" w:hAnsi="宋体" w:eastAsia="宋体" w:cs="宋体"/>
          <w:sz w:val="21"/>
          <w:szCs w:val="21"/>
          <w:highlight w:val="none"/>
        </w:rPr>
        <w:t>日  期：</w:t>
      </w:r>
    </w:p>
    <w:p w14:paraId="4C0CA4E7">
      <w:pPr>
        <w:spacing w:before="120" w:after="120"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附件九</w:t>
      </w:r>
    </w:p>
    <w:p w14:paraId="1466D2B3">
      <w:pPr>
        <w:spacing w:before="120" w:after="12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20</w:t>
      </w:r>
      <w:r>
        <w:rPr>
          <w:rFonts w:hint="eastAsia" w:ascii="宋体" w:hAnsi="宋体" w:eastAsia="宋体" w:cs="宋体"/>
          <w:b/>
          <w:bCs/>
          <w:color w:val="auto"/>
          <w:szCs w:val="21"/>
          <w:highlight w:val="none"/>
          <w:lang w:val="en-US" w:eastAsia="zh-CN"/>
        </w:rPr>
        <w:t>22</w:t>
      </w:r>
      <w:r>
        <w:rPr>
          <w:rFonts w:hint="eastAsia" w:ascii="宋体" w:hAnsi="宋体" w:eastAsia="宋体" w:cs="宋体"/>
          <w:b/>
          <w:bCs/>
          <w:color w:val="auto"/>
          <w:szCs w:val="21"/>
          <w:highlight w:val="none"/>
          <w:lang w:eastAsia="zh-CN"/>
        </w:rPr>
        <w:t>年1月1日以来</w:t>
      </w:r>
      <w:r>
        <w:rPr>
          <w:rFonts w:hint="eastAsia" w:ascii="宋体" w:hAnsi="宋体" w:eastAsia="宋体" w:cs="宋体"/>
          <w:b/>
          <w:bCs/>
          <w:color w:val="auto"/>
          <w:szCs w:val="21"/>
          <w:highlight w:val="none"/>
        </w:rPr>
        <w:t>同类项目业绩一览表</w:t>
      </w:r>
    </w:p>
    <w:p w14:paraId="4D2E0AB8">
      <w:pPr>
        <w:rPr>
          <w:rFonts w:hint="eastAsia" w:ascii="宋体" w:hAnsi="宋体" w:eastAsia="宋体" w:cs="宋体"/>
          <w:color w:val="auto"/>
          <w:highlight w:val="none"/>
          <w:lang w:val="zh-CN"/>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91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876"/>
        <w:gridCol w:w="3024"/>
        <w:gridCol w:w="1188"/>
        <w:gridCol w:w="998"/>
      </w:tblGrid>
      <w:tr w14:paraId="59302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6" w:type="dxa"/>
            <w:noWrap w:val="0"/>
            <w:vAlign w:val="center"/>
          </w:tcPr>
          <w:p w14:paraId="2A54A105">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876" w:type="dxa"/>
            <w:noWrap w:val="0"/>
            <w:vAlign w:val="center"/>
          </w:tcPr>
          <w:p w14:paraId="2938745C">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使用单位</w:t>
            </w:r>
          </w:p>
        </w:tc>
        <w:tc>
          <w:tcPr>
            <w:tcW w:w="3024" w:type="dxa"/>
            <w:noWrap w:val="0"/>
            <w:vAlign w:val="center"/>
          </w:tcPr>
          <w:p w14:paraId="6149B344">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地址/联系电话</w:t>
            </w:r>
          </w:p>
        </w:tc>
        <w:tc>
          <w:tcPr>
            <w:tcW w:w="1188" w:type="dxa"/>
            <w:noWrap w:val="0"/>
            <w:vAlign w:val="center"/>
          </w:tcPr>
          <w:p w14:paraId="1000D797">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合同金额</w:t>
            </w:r>
            <w:r>
              <w:rPr>
                <w:rFonts w:hint="eastAsia" w:ascii="宋体" w:hAnsi="宋体" w:eastAsia="宋体" w:cs="宋体"/>
                <w:color w:val="auto"/>
                <w:sz w:val="18"/>
                <w:szCs w:val="18"/>
                <w:highlight w:val="none"/>
              </w:rPr>
              <w:t>（万元）</w:t>
            </w:r>
          </w:p>
        </w:tc>
        <w:tc>
          <w:tcPr>
            <w:tcW w:w="998" w:type="dxa"/>
            <w:noWrap w:val="0"/>
            <w:vAlign w:val="center"/>
          </w:tcPr>
          <w:p w14:paraId="3048B08B">
            <w:pPr>
              <w:pStyle w:val="68"/>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58999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0357DD56">
            <w:pPr>
              <w:rPr>
                <w:rFonts w:hint="eastAsia" w:ascii="宋体" w:hAnsi="宋体" w:eastAsia="宋体" w:cs="宋体"/>
                <w:color w:val="auto"/>
                <w:sz w:val="18"/>
                <w:szCs w:val="18"/>
                <w:highlight w:val="none"/>
              </w:rPr>
            </w:pPr>
          </w:p>
        </w:tc>
        <w:tc>
          <w:tcPr>
            <w:tcW w:w="1876" w:type="dxa"/>
            <w:noWrap w:val="0"/>
            <w:vAlign w:val="top"/>
          </w:tcPr>
          <w:p w14:paraId="4DF2441A">
            <w:pPr>
              <w:rPr>
                <w:rFonts w:hint="eastAsia" w:ascii="宋体" w:hAnsi="宋体" w:eastAsia="宋体" w:cs="宋体"/>
                <w:color w:val="auto"/>
                <w:sz w:val="18"/>
                <w:szCs w:val="18"/>
                <w:highlight w:val="none"/>
              </w:rPr>
            </w:pPr>
          </w:p>
        </w:tc>
        <w:tc>
          <w:tcPr>
            <w:tcW w:w="3024" w:type="dxa"/>
            <w:noWrap w:val="0"/>
            <w:vAlign w:val="top"/>
          </w:tcPr>
          <w:p w14:paraId="2F190BF9">
            <w:pPr>
              <w:rPr>
                <w:rFonts w:hint="eastAsia" w:ascii="宋体" w:hAnsi="宋体" w:eastAsia="宋体" w:cs="宋体"/>
                <w:color w:val="auto"/>
                <w:sz w:val="18"/>
                <w:szCs w:val="18"/>
                <w:highlight w:val="none"/>
              </w:rPr>
            </w:pPr>
          </w:p>
        </w:tc>
        <w:tc>
          <w:tcPr>
            <w:tcW w:w="1188" w:type="dxa"/>
            <w:noWrap w:val="0"/>
            <w:vAlign w:val="top"/>
          </w:tcPr>
          <w:p w14:paraId="1A900FE4">
            <w:pPr>
              <w:rPr>
                <w:rFonts w:hint="eastAsia" w:ascii="宋体" w:hAnsi="宋体" w:eastAsia="宋体" w:cs="宋体"/>
                <w:color w:val="auto"/>
                <w:sz w:val="18"/>
                <w:szCs w:val="18"/>
                <w:highlight w:val="none"/>
              </w:rPr>
            </w:pPr>
          </w:p>
        </w:tc>
        <w:tc>
          <w:tcPr>
            <w:tcW w:w="998" w:type="dxa"/>
            <w:noWrap w:val="0"/>
            <w:vAlign w:val="top"/>
          </w:tcPr>
          <w:p w14:paraId="4B368D3E">
            <w:pPr>
              <w:rPr>
                <w:rFonts w:hint="eastAsia" w:ascii="宋体" w:hAnsi="宋体" w:eastAsia="宋体" w:cs="宋体"/>
                <w:color w:val="auto"/>
                <w:sz w:val="18"/>
                <w:szCs w:val="18"/>
                <w:highlight w:val="none"/>
              </w:rPr>
            </w:pPr>
          </w:p>
        </w:tc>
      </w:tr>
      <w:tr w14:paraId="51D12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57150D49">
            <w:pPr>
              <w:rPr>
                <w:rFonts w:hint="eastAsia" w:ascii="宋体" w:hAnsi="宋体" w:eastAsia="宋体" w:cs="宋体"/>
                <w:color w:val="auto"/>
                <w:sz w:val="18"/>
                <w:szCs w:val="18"/>
                <w:highlight w:val="none"/>
              </w:rPr>
            </w:pPr>
          </w:p>
        </w:tc>
        <w:tc>
          <w:tcPr>
            <w:tcW w:w="1876" w:type="dxa"/>
            <w:noWrap w:val="0"/>
            <w:vAlign w:val="top"/>
          </w:tcPr>
          <w:p w14:paraId="2B54ED0C">
            <w:pPr>
              <w:rPr>
                <w:rFonts w:hint="eastAsia" w:ascii="宋体" w:hAnsi="宋体" w:eastAsia="宋体" w:cs="宋体"/>
                <w:color w:val="auto"/>
                <w:sz w:val="18"/>
                <w:szCs w:val="18"/>
                <w:highlight w:val="none"/>
              </w:rPr>
            </w:pPr>
          </w:p>
        </w:tc>
        <w:tc>
          <w:tcPr>
            <w:tcW w:w="3024" w:type="dxa"/>
            <w:noWrap w:val="0"/>
            <w:vAlign w:val="top"/>
          </w:tcPr>
          <w:p w14:paraId="4E5E455A">
            <w:pPr>
              <w:rPr>
                <w:rFonts w:hint="eastAsia" w:ascii="宋体" w:hAnsi="宋体" w:eastAsia="宋体" w:cs="宋体"/>
                <w:color w:val="auto"/>
                <w:sz w:val="18"/>
                <w:szCs w:val="18"/>
                <w:highlight w:val="none"/>
              </w:rPr>
            </w:pPr>
          </w:p>
        </w:tc>
        <w:tc>
          <w:tcPr>
            <w:tcW w:w="1188" w:type="dxa"/>
            <w:noWrap w:val="0"/>
            <w:vAlign w:val="top"/>
          </w:tcPr>
          <w:p w14:paraId="77DC1048">
            <w:pPr>
              <w:rPr>
                <w:rFonts w:hint="eastAsia" w:ascii="宋体" w:hAnsi="宋体" w:eastAsia="宋体" w:cs="宋体"/>
                <w:color w:val="auto"/>
                <w:sz w:val="18"/>
                <w:szCs w:val="18"/>
                <w:highlight w:val="none"/>
              </w:rPr>
            </w:pPr>
          </w:p>
        </w:tc>
        <w:tc>
          <w:tcPr>
            <w:tcW w:w="998" w:type="dxa"/>
            <w:noWrap w:val="0"/>
            <w:vAlign w:val="top"/>
          </w:tcPr>
          <w:p w14:paraId="3F1A5140">
            <w:pPr>
              <w:rPr>
                <w:rFonts w:hint="eastAsia" w:ascii="宋体" w:hAnsi="宋体" w:eastAsia="宋体" w:cs="宋体"/>
                <w:color w:val="auto"/>
                <w:sz w:val="18"/>
                <w:szCs w:val="18"/>
                <w:highlight w:val="none"/>
              </w:rPr>
            </w:pPr>
          </w:p>
        </w:tc>
      </w:tr>
      <w:tr w14:paraId="0CEAD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0629AF66">
            <w:pPr>
              <w:rPr>
                <w:rFonts w:hint="eastAsia" w:ascii="宋体" w:hAnsi="宋体" w:eastAsia="宋体" w:cs="宋体"/>
                <w:color w:val="auto"/>
                <w:sz w:val="18"/>
                <w:szCs w:val="18"/>
                <w:highlight w:val="none"/>
              </w:rPr>
            </w:pPr>
          </w:p>
        </w:tc>
        <w:tc>
          <w:tcPr>
            <w:tcW w:w="1876" w:type="dxa"/>
            <w:noWrap w:val="0"/>
            <w:vAlign w:val="top"/>
          </w:tcPr>
          <w:p w14:paraId="771E5934">
            <w:pPr>
              <w:rPr>
                <w:rFonts w:hint="eastAsia" w:ascii="宋体" w:hAnsi="宋体" w:eastAsia="宋体" w:cs="宋体"/>
                <w:color w:val="auto"/>
                <w:sz w:val="18"/>
                <w:szCs w:val="18"/>
                <w:highlight w:val="none"/>
              </w:rPr>
            </w:pPr>
          </w:p>
        </w:tc>
        <w:tc>
          <w:tcPr>
            <w:tcW w:w="3024" w:type="dxa"/>
            <w:noWrap w:val="0"/>
            <w:vAlign w:val="top"/>
          </w:tcPr>
          <w:p w14:paraId="5569C425">
            <w:pPr>
              <w:rPr>
                <w:rFonts w:hint="eastAsia" w:ascii="宋体" w:hAnsi="宋体" w:eastAsia="宋体" w:cs="宋体"/>
                <w:color w:val="auto"/>
                <w:sz w:val="18"/>
                <w:szCs w:val="18"/>
                <w:highlight w:val="none"/>
              </w:rPr>
            </w:pPr>
          </w:p>
        </w:tc>
        <w:tc>
          <w:tcPr>
            <w:tcW w:w="1188" w:type="dxa"/>
            <w:noWrap w:val="0"/>
            <w:vAlign w:val="top"/>
          </w:tcPr>
          <w:p w14:paraId="63F120DC">
            <w:pPr>
              <w:rPr>
                <w:rFonts w:hint="eastAsia" w:ascii="宋体" w:hAnsi="宋体" w:eastAsia="宋体" w:cs="宋体"/>
                <w:color w:val="auto"/>
                <w:sz w:val="18"/>
                <w:szCs w:val="18"/>
                <w:highlight w:val="none"/>
              </w:rPr>
            </w:pPr>
          </w:p>
        </w:tc>
        <w:tc>
          <w:tcPr>
            <w:tcW w:w="998" w:type="dxa"/>
            <w:noWrap w:val="0"/>
            <w:vAlign w:val="top"/>
          </w:tcPr>
          <w:p w14:paraId="598E2A5C">
            <w:pPr>
              <w:rPr>
                <w:rFonts w:hint="eastAsia" w:ascii="宋体" w:hAnsi="宋体" w:eastAsia="宋体" w:cs="宋体"/>
                <w:color w:val="auto"/>
                <w:sz w:val="18"/>
                <w:szCs w:val="18"/>
                <w:highlight w:val="none"/>
              </w:rPr>
            </w:pPr>
          </w:p>
        </w:tc>
      </w:tr>
      <w:tr w14:paraId="25D21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4AD1EB57">
            <w:pPr>
              <w:rPr>
                <w:rFonts w:hint="eastAsia" w:ascii="宋体" w:hAnsi="宋体" w:eastAsia="宋体" w:cs="宋体"/>
                <w:color w:val="auto"/>
                <w:sz w:val="18"/>
                <w:szCs w:val="18"/>
                <w:highlight w:val="none"/>
              </w:rPr>
            </w:pPr>
          </w:p>
        </w:tc>
        <w:tc>
          <w:tcPr>
            <w:tcW w:w="1876" w:type="dxa"/>
            <w:noWrap w:val="0"/>
            <w:vAlign w:val="top"/>
          </w:tcPr>
          <w:p w14:paraId="6DC86D18">
            <w:pPr>
              <w:rPr>
                <w:rFonts w:hint="eastAsia" w:ascii="宋体" w:hAnsi="宋体" w:eastAsia="宋体" w:cs="宋体"/>
                <w:color w:val="auto"/>
                <w:sz w:val="18"/>
                <w:szCs w:val="18"/>
                <w:highlight w:val="none"/>
              </w:rPr>
            </w:pPr>
          </w:p>
        </w:tc>
        <w:tc>
          <w:tcPr>
            <w:tcW w:w="3024" w:type="dxa"/>
            <w:noWrap w:val="0"/>
            <w:vAlign w:val="top"/>
          </w:tcPr>
          <w:p w14:paraId="50AC574C">
            <w:pPr>
              <w:rPr>
                <w:rFonts w:hint="eastAsia" w:ascii="宋体" w:hAnsi="宋体" w:eastAsia="宋体" w:cs="宋体"/>
                <w:color w:val="auto"/>
                <w:sz w:val="18"/>
                <w:szCs w:val="18"/>
                <w:highlight w:val="none"/>
              </w:rPr>
            </w:pPr>
          </w:p>
        </w:tc>
        <w:tc>
          <w:tcPr>
            <w:tcW w:w="1188" w:type="dxa"/>
            <w:noWrap w:val="0"/>
            <w:vAlign w:val="top"/>
          </w:tcPr>
          <w:p w14:paraId="205803D2">
            <w:pPr>
              <w:rPr>
                <w:rFonts w:hint="eastAsia" w:ascii="宋体" w:hAnsi="宋体" w:eastAsia="宋体" w:cs="宋体"/>
                <w:color w:val="auto"/>
                <w:sz w:val="18"/>
                <w:szCs w:val="18"/>
                <w:highlight w:val="none"/>
              </w:rPr>
            </w:pPr>
          </w:p>
        </w:tc>
        <w:tc>
          <w:tcPr>
            <w:tcW w:w="998" w:type="dxa"/>
            <w:noWrap w:val="0"/>
            <w:vAlign w:val="top"/>
          </w:tcPr>
          <w:p w14:paraId="78CDC799">
            <w:pPr>
              <w:rPr>
                <w:rFonts w:hint="eastAsia" w:ascii="宋体" w:hAnsi="宋体" w:eastAsia="宋体" w:cs="宋体"/>
                <w:color w:val="auto"/>
                <w:sz w:val="18"/>
                <w:szCs w:val="18"/>
                <w:highlight w:val="none"/>
              </w:rPr>
            </w:pPr>
          </w:p>
        </w:tc>
      </w:tr>
      <w:tr w14:paraId="2650D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67560C3C">
            <w:pPr>
              <w:rPr>
                <w:rFonts w:hint="eastAsia" w:ascii="宋体" w:hAnsi="宋体" w:eastAsia="宋体" w:cs="宋体"/>
                <w:color w:val="auto"/>
                <w:sz w:val="18"/>
                <w:szCs w:val="18"/>
                <w:highlight w:val="none"/>
              </w:rPr>
            </w:pPr>
          </w:p>
        </w:tc>
        <w:tc>
          <w:tcPr>
            <w:tcW w:w="1876" w:type="dxa"/>
            <w:noWrap w:val="0"/>
            <w:vAlign w:val="top"/>
          </w:tcPr>
          <w:p w14:paraId="26E12BFC">
            <w:pPr>
              <w:rPr>
                <w:rFonts w:hint="eastAsia" w:ascii="宋体" w:hAnsi="宋体" w:eastAsia="宋体" w:cs="宋体"/>
                <w:color w:val="auto"/>
                <w:sz w:val="18"/>
                <w:szCs w:val="18"/>
                <w:highlight w:val="none"/>
              </w:rPr>
            </w:pPr>
          </w:p>
        </w:tc>
        <w:tc>
          <w:tcPr>
            <w:tcW w:w="3024" w:type="dxa"/>
            <w:noWrap w:val="0"/>
            <w:vAlign w:val="top"/>
          </w:tcPr>
          <w:p w14:paraId="175AB841">
            <w:pPr>
              <w:rPr>
                <w:rFonts w:hint="eastAsia" w:ascii="宋体" w:hAnsi="宋体" w:eastAsia="宋体" w:cs="宋体"/>
                <w:color w:val="auto"/>
                <w:sz w:val="18"/>
                <w:szCs w:val="18"/>
                <w:highlight w:val="none"/>
              </w:rPr>
            </w:pPr>
          </w:p>
        </w:tc>
        <w:tc>
          <w:tcPr>
            <w:tcW w:w="1188" w:type="dxa"/>
            <w:noWrap w:val="0"/>
            <w:vAlign w:val="top"/>
          </w:tcPr>
          <w:p w14:paraId="386AE8E5">
            <w:pPr>
              <w:rPr>
                <w:rFonts w:hint="eastAsia" w:ascii="宋体" w:hAnsi="宋体" w:eastAsia="宋体" w:cs="宋体"/>
                <w:color w:val="auto"/>
                <w:sz w:val="18"/>
                <w:szCs w:val="18"/>
                <w:highlight w:val="none"/>
              </w:rPr>
            </w:pPr>
          </w:p>
        </w:tc>
        <w:tc>
          <w:tcPr>
            <w:tcW w:w="998" w:type="dxa"/>
            <w:noWrap w:val="0"/>
            <w:vAlign w:val="top"/>
          </w:tcPr>
          <w:p w14:paraId="68D1A2E3">
            <w:pPr>
              <w:rPr>
                <w:rFonts w:hint="eastAsia" w:ascii="宋体" w:hAnsi="宋体" w:eastAsia="宋体" w:cs="宋体"/>
                <w:color w:val="auto"/>
                <w:sz w:val="18"/>
                <w:szCs w:val="18"/>
                <w:highlight w:val="none"/>
              </w:rPr>
            </w:pPr>
          </w:p>
        </w:tc>
      </w:tr>
      <w:tr w14:paraId="15358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6E842031">
            <w:pPr>
              <w:rPr>
                <w:rFonts w:hint="eastAsia" w:ascii="宋体" w:hAnsi="宋体" w:eastAsia="宋体" w:cs="宋体"/>
                <w:color w:val="auto"/>
                <w:sz w:val="18"/>
                <w:szCs w:val="18"/>
                <w:highlight w:val="none"/>
              </w:rPr>
            </w:pPr>
          </w:p>
        </w:tc>
        <w:tc>
          <w:tcPr>
            <w:tcW w:w="1876" w:type="dxa"/>
            <w:noWrap w:val="0"/>
            <w:vAlign w:val="top"/>
          </w:tcPr>
          <w:p w14:paraId="46BF3136">
            <w:pPr>
              <w:rPr>
                <w:rFonts w:hint="eastAsia" w:ascii="宋体" w:hAnsi="宋体" w:eastAsia="宋体" w:cs="宋体"/>
                <w:color w:val="auto"/>
                <w:sz w:val="18"/>
                <w:szCs w:val="18"/>
                <w:highlight w:val="none"/>
              </w:rPr>
            </w:pPr>
          </w:p>
        </w:tc>
        <w:tc>
          <w:tcPr>
            <w:tcW w:w="3024" w:type="dxa"/>
            <w:noWrap w:val="0"/>
            <w:vAlign w:val="top"/>
          </w:tcPr>
          <w:p w14:paraId="3B036F1A">
            <w:pPr>
              <w:rPr>
                <w:rFonts w:hint="eastAsia" w:ascii="宋体" w:hAnsi="宋体" w:eastAsia="宋体" w:cs="宋体"/>
                <w:color w:val="auto"/>
                <w:sz w:val="18"/>
                <w:szCs w:val="18"/>
                <w:highlight w:val="none"/>
              </w:rPr>
            </w:pPr>
          </w:p>
        </w:tc>
        <w:tc>
          <w:tcPr>
            <w:tcW w:w="1188" w:type="dxa"/>
            <w:noWrap w:val="0"/>
            <w:vAlign w:val="top"/>
          </w:tcPr>
          <w:p w14:paraId="567E7810">
            <w:pPr>
              <w:rPr>
                <w:rFonts w:hint="eastAsia" w:ascii="宋体" w:hAnsi="宋体" w:eastAsia="宋体" w:cs="宋体"/>
                <w:color w:val="auto"/>
                <w:sz w:val="18"/>
                <w:szCs w:val="18"/>
                <w:highlight w:val="none"/>
              </w:rPr>
            </w:pPr>
          </w:p>
        </w:tc>
        <w:tc>
          <w:tcPr>
            <w:tcW w:w="998" w:type="dxa"/>
            <w:noWrap w:val="0"/>
            <w:vAlign w:val="top"/>
          </w:tcPr>
          <w:p w14:paraId="4DC6FB4D">
            <w:pPr>
              <w:rPr>
                <w:rFonts w:hint="eastAsia" w:ascii="宋体" w:hAnsi="宋体" w:eastAsia="宋体" w:cs="宋体"/>
                <w:color w:val="auto"/>
                <w:sz w:val="18"/>
                <w:szCs w:val="18"/>
                <w:highlight w:val="none"/>
              </w:rPr>
            </w:pPr>
          </w:p>
        </w:tc>
      </w:tr>
      <w:tr w14:paraId="5C825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3CBCFCF7">
            <w:pPr>
              <w:rPr>
                <w:rFonts w:hint="eastAsia" w:ascii="宋体" w:hAnsi="宋体" w:eastAsia="宋体" w:cs="宋体"/>
                <w:color w:val="auto"/>
                <w:sz w:val="18"/>
                <w:szCs w:val="18"/>
                <w:highlight w:val="none"/>
              </w:rPr>
            </w:pPr>
          </w:p>
        </w:tc>
        <w:tc>
          <w:tcPr>
            <w:tcW w:w="1876" w:type="dxa"/>
            <w:noWrap w:val="0"/>
            <w:vAlign w:val="top"/>
          </w:tcPr>
          <w:p w14:paraId="529D3237">
            <w:pPr>
              <w:rPr>
                <w:rFonts w:hint="eastAsia" w:ascii="宋体" w:hAnsi="宋体" w:eastAsia="宋体" w:cs="宋体"/>
                <w:color w:val="auto"/>
                <w:sz w:val="18"/>
                <w:szCs w:val="18"/>
                <w:highlight w:val="none"/>
              </w:rPr>
            </w:pPr>
          </w:p>
        </w:tc>
        <w:tc>
          <w:tcPr>
            <w:tcW w:w="3024" w:type="dxa"/>
            <w:noWrap w:val="0"/>
            <w:vAlign w:val="top"/>
          </w:tcPr>
          <w:p w14:paraId="0114CF60">
            <w:pPr>
              <w:rPr>
                <w:rFonts w:hint="eastAsia" w:ascii="宋体" w:hAnsi="宋体" w:eastAsia="宋体" w:cs="宋体"/>
                <w:color w:val="auto"/>
                <w:sz w:val="18"/>
                <w:szCs w:val="18"/>
                <w:highlight w:val="none"/>
              </w:rPr>
            </w:pPr>
          </w:p>
        </w:tc>
        <w:tc>
          <w:tcPr>
            <w:tcW w:w="1188" w:type="dxa"/>
            <w:noWrap w:val="0"/>
            <w:vAlign w:val="top"/>
          </w:tcPr>
          <w:p w14:paraId="7DF305ED">
            <w:pPr>
              <w:rPr>
                <w:rFonts w:hint="eastAsia" w:ascii="宋体" w:hAnsi="宋体" w:eastAsia="宋体" w:cs="宋体"/>
                <w:color w:val="auto"/>
                <w:sz w:val="18"/>
                <w:szCs w:val="18"/>
                <w:highlight w:val="none"/>
              </w:rPr>
            </w:pPr>
          </w:p>
        </w:tc>
        <w:tc>
          <w:tcPr>
            <w:tcW w:w="998" w:type="dxa"/>
            <w:noWrap w:val="0"/>
            <w:vAlign w:val="top"/>
          </w:tcPr>
          <w:p w14:paraId="677E0113">
            <w:pPr>
              <w:rPr>
                <w:rFonts w:hint="eastAsia" w:ascii="宋体" w:hAnsi="宋体" w:eastAsia="宋体" w:cs="宋体"/>
                <w:color w:val="auto"/>
                <w:sz w:val="18"/>
                <w:szCs w:val="18"/>
                <w:highlight w:val="none"/>
              </w:rPr>
            </w:pPr>
          </w:p>
        </w:tc>
      </w:tr>
      <w:tr w14:paraId="221AD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4F9DBE9E">
            <w:pPr>
              <w:rPr>
                <w:rFonts w:hint="eastAsia" w:ascii="宋体" w:hAnsi="宋体" w:eastAsia="宋体" w:cs="宋体"/>
                <w:color w:val="auto"/>
                <w:sz w:val="18"/>
                <w:szCs w:val="18"/>
                <w:highlight w:val="none"/>
              </w:rPr>
            </w:pPr>
          </w:p>
        </w:tc>
        <w:tc>
          <w:tcPr>
            <w:tcW w:w="1876" w:type="dxa"/>
            <w:noWrap w:val="0"/>
            <w:vAlign w:val="top"/>
          </w:tcPr>
          <w:p w14:paraId="6DF41F95">
            <w:pPr>
              <w:rPr>
                <w:rFonts w:hint="eastAsia" w:ascii="宋体" w:hAnsi="宋体" w:eastAsia="宋体" w:cs="宋体"/>
                <w:color w:val="auto"/>
                <w:sz w:val="18"/>
                <w:szCs w:val="18"/>
                <w:highlight w:val="none"/>
              </w:rPr>
            </w:pPr>
          </w:p>
        </w:tc>
        <w:tc>
          <w:tcPr>
            <w:tcW w:w="3024" w:type="dxa"/>
            <w:noWrap w:val="0"/>
            <w:vAlign w:val="top"/>
          </w:tcPr>
          <w:p w14:paraId="3D35B81B">
            <w:pPr>
              <w:rPr>
                <w:rFonts w:hint="eastAsia" w:ascii="宋体" w:hAnsi="宋体" w:eastAsia="宋体" w:cs="宋体"/>
                <w:color w:val="auto"/>
                <w:sz w:val="18"/>
                <w:szCs w:val="18"/>
                <w:highlight w:val="none"/>
              </w:rPr>
            </w:pPr>
          </w:p>
        </w:tc>
        <w:tc>
          <w:tcPr>
            <w:tcW w:w="1188" w:type="dxa"/>
            <w:noWrap w:val="0"/>
            <w:vAlign w:val="top"/>
          </w:tcPr>
          <w:p w14:paraId="126D188B">
            <w:pPr>
              <w:rPr>
                <w:rFonts w:hint="eastAsia" w:ascii="宋体" w:hAnsi="宋体" w:eastAsia="宋体" w:cs="宋体"/>
                <w:color w:val="auto"/>
                <w:sz w:val="18"/>
                <w:szCs w:val="18"/>
                <w:highlight w:val="none"/>
              </w:rPr>
            </w:pPr>
          </w:p>
        </w:tc>
        <w:tc>
          <w:tcPr>
            <w:tcW w:w="998" w:type="dxa"/>
            <w:noWrap w:val="0"/>
            <w:vAlign w:val="top"/>
          </w:tcPr>
          <w:p w14:paraId="19FA3863">
            <w:pPr>
              <w:rPr>
                <w:rFonts w:hint="eastAsia" w:ascii="宋体" w:hAnsi="宋体" w:eastAsia="宋体" w:cs="宋体"/>
                <w:color w:val="auto"/>
                <w:sz w:val="18"/>
                <w:szCs w:val="18"/>
                <w:highlight w:val="none"/>
              </w:rPr>
            </w:pPr>
          </w:p>
        </w:tc>
      </w:tr>
      <w:tr w14:paraId="3E1AC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6B56C4B2">
            <w:pPr>
              <w:rPr>
                <w:rFonts w:hint="eastAsia" w:ascii="宋体" w:hAnsi="宋体" w:eastAsia="宋体" w:cs="宋体"/>
                <w:color w:val="auto"/>
                <w:sz w:val="18"/>
                <w:szCs w:val="18"/>
                <w:highlight w:val="none"/>
              </w:rPr>
            </w:pPr>
          </w:p>
        </w:tc>
        <w:tc>
          <w:tcPr>
            <w:tcW w:w="1876" w:type="dxa"/>
            <w:noWrap w:val="0"/>
            <w:vAlign w:val="top"/>
          </w:tcPr>
          <w:p w14:paraId="2E2A05A2">
            <w:pPr>
              <w:rPr>
                <w:rFonts w:hint="eastAsia" w:ascii="宋体" w:hAnsi="宋体" w:eastAsia="宋体" w:cs="宋体"/>
                <w:color w:val="auto"/>
                <w:sz w:val="18"/>
                <w:szCs w:val="18"/>
                <w:highlight w:val="none"/>
              </w:rPr>
            </w:pPr>
          </w:p>
        </w:tc>
        <w:tc>
          <w:tcPr>
            <w:tcW w:w="3024" w:type="dxa"/>
            <w:noWrap w:val="0"/>
            <w:vAlign w:val="top"/>
          </w:tcPr>
          <w:p w14:paraId="063EC632">
            <w:pPr>
              <w:rPr>
                <w:rFonts w:hint="eastAsia" w:ascii="宋体" w:hAnsi="宋体" w:eastAsia="宋体" w:cs="宋体"/>
                <w:color w:val="auto"/>
                <w:sz w:val="18"/>
                <w:szCs w:val="18"/>
                <w:highlight w:val="none"/>
              </w:rPr>
            </w:pPr>
          </w:p>
        </w:tc>
        <w:tc>
          <w:tcPr>
            <w:tcW w:w="1188" w:type="dxa"/>
            <w:noWrap w:val="0"/>
            <w:vAlign w:val="top"/>
          </w:tcPr>
          <w:p w14:paraId="070DC31D">
            <w:pPr>
              <w:rPr>
                <w:rFonts w:hint="eastAsia" w:ascii="宋体" w:hAnsi="宋体" w:eastAsia="宋体" w:cs="宋体"/>
                <w:color w:val="auto"/>
                <w:sz w:val="18"/>
                <w:szCs w:val="18"/>
                <w:highlight w:val="none"/>
              </w:rPr>
            </w:pPr>
          </w:p>
        </w:tc>
        <w:tc>
          <w:tcPr>
            <w:tcW w:w="998" w:type="dxa"/>
            <w:noWrap w:val="0"/>
            <w:vAlign w:val="top"/>
          </w:tcPr>
          <w:p w14:paraId="2E3E2A60">
            <w:pPr>
              <w:rPr>
                <w:rFonts w:hint="eastAsia" w:ascii="宋体" w:hAnsi="宋体" w:eastAsia="宋体" w:cs="宋体"/>
                <w:color w:val="auto"/>
                <w:sz w:val="18"/>
                <w:szCs w:val="18"/>
                <w:highlight w:val="none"/>
              </w:rPr>
            </w:pPr>
          </w:p>
        </w:tc>
      </w:tr>
      <w:tr w14:paraId="189C8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7B61064A">
            <w:pPr>
              <w:rPr>
                <w:rFonts w:hint="eastAsia" w:ascii="宋体" w:hAnsi="宋体" w:eastAsia="宋体" w:cs="宋体"/>
                <w:color w:val="auto"/>
                <w:sz w:val="18"/>
                <w:szCs w:val="18"/>
                <w:highlight w:val="none"/>
              </w:rPr>
            </w:pPr>
          </w:p>
        </w:tc>
        <w:tc>
          <w:tcPr>
            <w:tcW w:w="1876" w:type="dxa"/>
            <w:noWrap w:val="0"/>
            <w:vAlign w:val="top"/>
          </w:tcPr>
          <w:p w14:paraId="70C2ACED">
            <w:pPr>
              <w:rPr>
                <w:rFonts w:hint="eastAsia" w:ascii="宋体" w:hAnsi="宋体" w:eastAsia="宋体" w:cs="宋体"/>
                <w:color w:val="auto"/>
                <w:sz w:val="18"/>
                <w:szCs w:val="18"/>
                <w:highlight w:val="none"/>
              </w:rPr>
            </w:pPr>
          </w:p>
        </w:tc>
        <w:tc>
          <w:tcPr>
            <w:tcW w:w="3024" w:type="dxa"/>
            <w:noWrap w:val="0"/>
            <w:vAlign w:val="top"/>
          </w:tcPr>
          <w:p w14:paraId="2AD95D7D">
            <w:pPr>
              <w:rPr>
                <w:rFonts w:hint="eastAsia" w:ascii="宋体" w:hAnsi="宋体" w:eastAsia="宋体" w:cs="宋体"/>
                <w:color w:val="auto"/>
                <w:sz w:val="18"/>
                <w:szCs w:val="18"/>
                <w:highlight w:val="none"/>
              </w:rPr>
            </w:pPr>
          </w:p>
        </w:tc>
        <w:tc>
          <w:tcPr>
            <w:tcW w:w="1188" w:type="dxa"/>
            <w:noWrap w:val="0"/>
            <w:vAlign w:val="top"/>
          </w:tcPr>
          <w:p w14:paraId="1A3A9493">
            <w:pPr>
              <w:rPr>
                <w:rFonts w:hint="eastAsia" w:ascii="宋体" w:hAnsi="宋体" w:eastAsia="宋体" w:cs="宋体"/>
                <w:color w:val="auto"/>
                <w:sz w:val="18"/>
                <w:szCs w:val="18"/>
                <w:highlight w:val="none"/>
              </w:rPr>
            </w:pPr>
          </w:p>
        </w:tc>
        <w:tc>
          <w:tcPr>
            <w:tcW w:w="998" w:type="dxa"/>
            <w:noWrap w:val="0"/>
            <w:vAlign w:val="top"/>
          </w:tcPr>
          <w:p w14:paraId="5710B808">
            <w:pPr>
              <w:rPr>
                <w:rFonts w:hint="eastAsia" w:ascii="宋体" w:hAnsi="宋体" w:eastAsia="宋体" w:cs="宋体"/>
                <w:color w:val="auto"/>
                <w:sz w:val="18"/>
                <w:szCs w:val="18"/>
                <w:highlight w:val="none"/>
              </w:rPr>
            </w:pPr>
          </w:p>
        </w:tc>
      </w:tr>
      <w:tr w14:paraId="51ECB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62AB76FB">
            <w:pPr>
              <w:rPr>
                <w:rFonts w:hint="eastAsia" w:ascii="宋体" w:hAnsi="宋体" w:eastAsia="宋体" w:cs="宋体"/>
                <w:color w:val="auto"/>
                <w:sz w:val="18"/>
                <w:szCs w:val="18"/>
                <w:highlight w:val="none"/>
              </w:rPr>
            </w:pPr>
          </w:p>
        </w:tc>
        <w:tc>
          <w:tcPr>
            <w:tcW w:w="1876" w:type="dxa"/>
            <w:noWrap w:val="0"/>
            <w:vAlign w:val="top"/>
          </w:tcPr>
          <w:p w14:paraId="35A79A85">
            <w:pPr>
              <w:rPr>
                <w:rFonts w:hint="eastAsia" w:ascii="宋体" w:hAnsi="宋体" w:eastAsia="宋体" w:cs="宋体"/>
                <w:color w:val="auto"/>
                <w:sz w:val="18"/>
                <w:szCs w:val="18"/>
                <w:highlight w:val="none"/>
              </w:rPr>
            </w:pPr>
          </w:p>
        </w:tc>
        <w:tc>
          <w:tcPr>
            <w:tcW w:w="3024" w:type="dxa"/>
            <w:noWrap w:val="0"/>
            <w:vAlign w:val="top"/>
          </w:tcPr>
          <w:p w14:paraId="387BCAF3">
            <w:pPr>
              <w:rPr>
                <w:rFonts w:hint="eastAsia" w:ascii="宋体" w:hAnsi="宋体" w:eastAsia="宋体" w:cs="宋体"/>
                <w:color w:val="auto"/>
                <w:sz w:val="18"/>
                <w:szCs w:val="18"/>
                <w:highlight w:val="none"/>
              </w:rPr>
            </w:pPr>
          </w:p>
        </w:tc>
        <w:tc>
          <w:tcPr>
            <w:tcW w:w="1188" w:type="dxa"/>
            <w:noWrap w:val="0"/>
            <w:vAlign w:val="top"/>
          </w:tcPr>
          <w:p w14:paraId="5C30E71D">
            <w:pPr>
              <w:rPr>
                <w:rFonts w:hint="eastAsia" w:ascii="宋体" w:hAnsi="宋体" w:eastAsia="宋体" w:cs="宋体"/>
                <w:color w:val="auto"/>
                <w:sz w:val="18"/>
                <w:szCs w:val="18"/>
                <w:highlight w:val="none"/>
              </w:rPr>
            </w:pPr>
          </w:p>
        </w:tc>
        <w:tc>
          <w:tcPr>
            <w:tcW w:w="998" w:type="dxa"/>
            <w:noWrap w:val="0"/>
            <w:vAlign w:val="top"/>
          </w:tcPr>
          <w:p w14:paraId="354255C2">
            <w:pPr>
              <w:rPr>
                <w:rFonts w:hint="eastAsia" w:ascii="宋体" w:hAnsi="宋体" w:eastAsia="宋体" w:cs="宋体"/>
                <w:color w:val="auto"/>
                <w:sz w:val="18"/>
                <w:szCs w:val="18"/>
                <w:highlight w:val="none"/>
              </w:rPr>
            </w:pPr>
          </w:p>
        </w:tc>
      </w:tr>
    </w:tbl>
    <w:p w14:paraId="69307F8F">
      <w:pPr>
        <w:spacing w:before="120" w:beforeLines="50" w:line="360" w:lineRule="exact"/>
        <w:ind w:right="-21" w:rightChars="-10"/>
        <w:rPr>
          <w:rFonts w:hint="eastAsia" w:ascii="宋体" w:hAnsi="宋体" w:eastAsia="宋体" w:cs="宋体"/>
          <w:color w:val="auto"/>
          <w:highlight w:val="none"/>
        </w:rPr>
      </w:pPr>
      <w:r>
        <w:rPr>
          <w:rFonts w:hint="eastAsia" w:ascii="宋体" w:hAnsi="宋体" w:eastAsia="宋体" w:cs="宋体"/>
          <w:color w:val="auto"/>
          <w:highlight w:val="none"/>
        </w:rPr>
        <w:t>注：1.提供投标人在国内的同类项目服务业绩，每项业绩须附证明文件，以提供的合同或中标通知书为准（合同</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中标通知书复印件加盖公章，</w:t>
      </w:r>
      <w:r>
        <w:rPr>
          <w:rFonts w:hint="eastAsia" w:ascii="宋体" w:hAnsi="宋体" w:eastAsia="宋体" w:cs="宋体"/>
          <w:color w:val="auto"/>
          <w:highlight w:val="none"/>
          <w:lang w:val="en-US" w:eastAsia="zh-CN"/>
        </w:rPr>
        <w:t>同时须按技术资信评分细则要求提供相关</w:t>
      </w:r>
      <w:r>
        <w:rPr>
          <w:rFonts w:hint="eastAsia" w:ascii="宋体" w:hAnsi="宋体" w:eastAsia="宋体" w:cs="宋体"/>
          <w:color w:val="auto"/>
          <w:highlight w:val="none"/>
        </w:rPr>
        <w:t>原件）。</w:t>
      </w:r>
    </w:p>
    <w:p w14:paraId="4007B153">
      <w:pPr>
        <w:spacing w:before="120" w:beforeLines="50" w:line="360" w:lineRule="exact"/>
        <w:ind w:right="-21" w:rightChars="-1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2.投标人不按此要求填写此项内容及提供相应的证明材料将视为无业绩，在技术资信评审中将不予认可。</w:t>
      </w:r>
    </w:p>
    <w:p w14:paraId="003CA519">
      <w:pPr>
        <w:spacing w:line="400" w:lineRule="exact"/>
        <w:ind w:firstLine="433" w:firstLineChars="196"/>
        <w:rPr>
          <w:rFonts w:hint="eastAsia" w:ascii="宋体" w:hAnsi="宋体" w:eastAsia="宋体" w:cs="宋体"/>
          <w:b/>
          <w:color w:val="auto"/>
          <w:sz w:val="22"/>
          <w:szCs w:val="22"/>
          <w:highlight w:val="none"/>
        </w:rPr>
      </w:pPr>
    </w:p>
    <w:p w14:paraId="2B9F582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14:paraId="14CBE3AF">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14:paraId="4DB122AF">
      <w:pPr>
        <w:spacing w:line="360" w:lineRule="auto"/>
        <w:jc w:val="both"/>
        <w:rPr>
          <w:rFonts w:hint="eastAsia" w:ascii="宋体" w:hAnsi="宋体" w:eastAsia="宋体" w:cs="宋体"/>
          <w:b/>
          <w:bCs/>
          <w:color w:val="auto"/>
          <w:sz w:val="20"/>
          <w:szCs w:val="20"/>
          <w:highlight w:val="none"/>
        </w:rPr>
      </w:pPr>
      <w:r>
        <w:rPr>
          <w:rFonts w:hint="eastAsia" w:ascii="宋体" w:hAnsi="宋体" w:eastAsia="宋体" w:cs="宋体"/>
          <w:sz w:val="21"/>
          <w:szCs w:val="21"/>
          <w:highlight w:val="none"/>
        </w:rPr>
        <w:t>日  期：</w:t>
      </w:r>
    </w:p>
    <w:p w14:paraId="5CCC3D34">
      <w:pPr>
        <w:rPr>
          <w:rFonts w:hint="eastAsia" w:ascii="宋体" w:hAnsi="宋体" w:eastAsia="宋体" w:cs="宋体"/>
          <w:highlight w:val="none"/>
        </w:rPr>
      </w:pPr>
      <w:r>
        <w:rPr>
          <w:rFonts w:hint="eastAsia" w:ascii="宋体" w:hAnsi="宋体" w:eastAsia="宋体" w:cs="宋体"/>
          <w:b/>
          <w:bCs/>
          <w:color w:val="auto"/>
          <w:sz w:val="24"/>
          <w:highlight w:val="none"/>
        </w:rPr>
        <w:br w:type="page"/>
      </w:r>
    </w:p>
    <w:p w14:paraId="5ADA4D42">
      <w:pPr>
        <w:spacing w:line="360" w:lineRule="auto"/>
        <w:jc w:val="left"/>
        <w:rPr>
          <w:rFonts w:hint="eastAsia" w:ascii="宋体" w:hAnsi="宋体" w:eastAsia="宋体" w:cs="宋体"/>
          <w:sz w:val="22"/>
          <w:highlight w:val="none"/>
        </w:rPr>
      </w:pPr>
      <w:r>
        <w:rPr>
          <w:rFonts w:hint="eastAsia" w:ascii="宋体" w:hAnsi="宋体" w:eastAsia="宋体" w:cs="宋体"/>
          <w:sz w:val="22"/>
          <w:highlight w:val="none"/>
        </w:rPr>
        <w:t>（商务（报价）标封面，供参考）</w:t>
      </w:r>
    </w:p>
    <w:p w14:paraId="5C04644B">
      <w:pPr>
        <w:rPr>
          <w:rFonts w:hint="eastAsia" w:ascii="宋体" w:hAnsi="宋体" w:eastAsia="宋体" w:cs="宋体"/>
          <w:szCs w:val="24"/>
          <w:highlight w:val="none"/>
        </w:rPr>
      </w:pPr>
    </w:p>
    <w:p w14:paraId="52531B27">
      <w:pPr>
        <w:rPr>
          <w:rFonts w:hint="eastAsia" w:ascii="宋体" w:hAnsi="宋体" w:eastAsia="宋体" w:cs="宋体"/>
          <w:szCs w:val="24"/>
          <w:highlight w:val="none"/>
        </w:rPr>
      </w:pPr>
    </w:p>
    <w:p w14:paraId="73258552">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7B079BB1">
      <w:pPr>
        <w:ind w:left="562" w:hanging="562" w:hangingChars="200"/>
        <w:jc w:val="right"/>
        <w:rPr>
          <w:rFonts w:hint="eastAsia" w:ascii="宋体" w:hAnsi="宋体" w:eastAsia="宋体" w:cs="宋体"/>
          <w:b/>
          <w:bCs/>
          <w:sz w:val="28"/>
          <w:szCs w:val="28"/>
          <w:highlight w:val="none"/>
        </w:rPr>
      </w:pPr>
    </w:p>
    <w:p w14:paraId="2FC8AC2C">
      <w:pPr>
        <w:rPr>
          <w:rFonts w:hint="eastAsia" w:ascii="宋体" w:hAnsi="宋体" w:eastAsia="宋体" w:cs="宋体"/>
          <w:szCs w:val="24"/>
          <w:highlight w:val="none"/>
        </w:rPr>
      </w:pPr>
    </w:p>
    <w:p w14:paraId="297075ED">
      <w:pPr>
        <w:ind w:left="480" w:hanging="480" w:hangingChars="200"/>
        <w:rPr>
          <w:rFonts w:hint="eastAsia" w:ascii="宋体" w:hAnsi="宋体" w:eastAsia="宋体" w:cs="宋体"/>
          <w:sz w:val="24"/>
          <w:szCs w:val="24"/>
          <w:highlight w:val="none"/>
        </w:rPr>
      </w:pPr>
    </w:p>
    <w:p w14:paraId="025080A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14:paraId="1B91ED48">
      <w:pPr>
        <w:rPr>
          <w:rFonts w:hint="eastAsia" w:ascii="宋体" w:hAnsi="宋体" w:eastAsia="宋体" w:cs="宋体"/>
          <w:sz w:val="28"/>
          <w:szCs w:val="28"/>
          <w:highlight w:val="none"/>
        </w:rPr>
      </w:pPr>
    </w:p>
    <w:p w14:paraId="41C94008">
      <w:pPr>
        <w:rPr>
          <w:rFonts w:hint="eastAsia" w:ascii="宋体" w:hAnsi="宋体" w:eastAsia="宋体" w:cs="宋体"/>
          <w:sz w:val="28"/>
          <w:szCs w:val="28"/>
          <w:highlight w:val="none"/>
        </w:rPr>
      </w:pPr>
    </w:p>
    <w:p w14:paraId="2A545415">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2EC5DE49">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67937A3D">
      <w:pPr>
        <w:rPr>
          <w:rFonts w:hint="eastAsia" w:ascii="宋体" w:hAnsi="宋体" w:eastAsia="宋体" w:cs="宋体"/>
          <w:sz w:val="28"/>
          <w:szCs w:val="28"/>
          <w:highlight w:val="none"/>
        </w:rPr>
      </w:pPr>
    </w:p>
    <w:p w14:paraId="1C475CF5">
      <w:pPr>
        <w:rPr>
          <w:rFonts w:hint="eastAsia" w:ascii="宋体" w:hAnsi="宋体" w:eastAsia="宋体" w:cs="宋体"/>
          <w:sz w:val="28"/>
          <w:szCs w:val="28"/>
          <w:highlight w:val="none"/>
        </w:rPr>
      </w:pPr>
    </w:p>
    <w:p w14:paraId="3AC43CA5">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14:paraId="31121E0A">
      <w:pPr>
        <w:spacing w:line="480" w:lineRule="auto"/>
        <w:jc w:val="center"/>
        <w:rPr>
          <w:rFonts w:hint="eastAsia" w:ascii="宋体" w:hAnsi="宋体" w:eastAsia="宋体" w:cs="宋体"/>
          <w:szCs w:val="21"/>
          <w:highlight w:val="none"/>
        </w:rPr>
      </w:pPr>
      <w:r>
        <w:rPr>
          <w:rFonts w:hint="eastAsia" w:ascii="宋体" w:hAnsi="宋体" w:eastAsia="宋体" w:cs="宋体"/>
          <w:sz w:val="44"/>
          <w:szCs w:val="44"/>
          <w:highlight w:val="none"/>
        </w:rPr>
        <w:t>（开标时启封）</w:t>
      </w:r>
    </w:p>
    <w:p w14:paraId="5FB3912F">
      <w:pPr>
        <w:spacing w:line="360" w:lineRule="auto"/>
        <w:rPr>
          <w:rFonts w:hint="eastAsia" w:ascii="宋体" w:hAnsi="宋体" w:eastAsia="宋体" w:cs="宋体"/>
          <w:szCs w:val="21"/>
          <w:highlight w:val="none"/>
        </w:rPr>
      </w:pPr>
    </w:p>
    <w:p w14:paraId="33966803">
      <w:pPr>
        <w:spacing w:line="360" w:lineRule="auto"/>
        <w:rPr>
          <w:rFonts w:hint="eastAsia" w:ascii="宋体" w:hAnsi="宋体" w:eastAsia="宋体" w:cs="宋体"/>
          <w:szCs w:val="21"/>
          <w:highlight w:val="none"/>
        </w:rPr>
      </w:pPr>
    </w:p>
    <w:p w14:paraId="46283BBA">
      <w:pPr>
        <w:spacing w:line="360" w:lineRule="auto"/>
        <w:rPr>
          <w:rFonts w:hint="eastAsia" w:ascii="宋体" w:hAnsi="宋体" w:eastAsia="宋体" w:cs="宋体"/>
          <w:szCs w:val="21"/>
          <w:highlight w:val="none"/>
        </w:rPr>
      </w:pPr>
    </w:p>
    <w:p w14:paraId="2E48633D">
      <w:pPr>
        <w:spacing w:line="360" w:lineRule="auto"/>
        <w:rPr>
          <w:rFonts w:hint="eastAsia" w:ascii="宋体" w:hAnsi="宋体" w:eastAsia="宋体" w:cs="宋体"/>
          <w:szCs w:val="21"/>
          <w:highlight w:val="none"/>
        </w:rPr>
      </w:pPr>
    </w:p>
    <w:p w14:paraId="407D7F3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1B3D1AAE">
      <w:pPr>
        <w:rPr>
          <w:rFonts w:hint="eastAsia" w:ascii="宋体" w:hAnsi="宋体" w:eastAsia="宋体" w:cs="宋体"/>
          <w:sz w:val="28"/>
          <w:szCs w:val="28"/>
          <w:highlight w:val="none"/>
          <w:u w:val="single"/>
        </w:rPr>
      </w:pPr>
    </w:p>
    <w:p w14:paraId="5A300FD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6853445A">
      <w:pPr>
        <w:rPr>
          <w:rFonts w:hint="eastAsia" w:ascii="宋体" w:hAnsi="宋体" w:eastAsia="宋体" w:cs="宋体"/>
          <w:sz w:val="28"/>
          <w:szCs w:val="28"/>
          <w:highlight w:val="none"/>
        </w:rPr>
      </w:pPr>
    </w:p>
    <w:p w14:paraId="6E3F06DD">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25D5D3A2">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w:t>
      </w:r>
    </w:p>
    <w:p w14:paraId="719C9D64">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14:paraId="55F23CC7">
      <w:pPr>
        <w:spacing w:line="380" w:lineRule="exact"/>
        <w:jc w:val="center"/>
        <w:rPr>
          <w:rFonts w:hint="eastAsia" w:ascii="宋体" w:hAnsi="宋体" w:eastAsia="宋体" w:cs="宋体"/>
          <w:bCs/>
          <w:sz w:val="28"/>
          <w:szCs w:val="24"/>
          <w:highlight w:val="none"/>
        </w:rPr>
      </w:pPr>
    </w:p>
    <w:p w14:paraId="4F034DF2">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4849"/>
        <w:gridCol w:w="1320"/>
        <w:gridCol w:w="1320"/>
      </w:tblGrid>
      <w:tr w14:paraId="0B1C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14:paraId="5E5A91B5">
            <w:pPr>
              <w:jc w:val="center"/>
              <w:rPr>
                <w:rFonts w:hint="eastAsia" w:ascii="宋体" w:hAnsi="宋体" w:eastAsia="宋体" w:cs="宋体"/>
                <w:sz w:val="22"/>
                <w:highlight w:val="none"/>
              </w:rPr>
            </w:pPr>
            <w:r>
              <w:rPr>
                <w:rFonts w:hint="eastAsia" w:ascii="宋体" w:hAnsi="宋体" w:eastAsia="宋体" w:cs="宋体"/>
                <w:sz w:val="22"/>
                <w:highlight w:val="none"/>
              </w:rPr>
              <w:t>项目名称</w:t>
            </w:r>
          </w:p>
        </w:tc>
        <w:tc>
          <w:tcPr>
            <w:tcW w:w="4849" w:type="dxa"/>
            <w:tcBorders>
              <w:top w:val="single" w:color="auto" w:sz="4" w:space="0"/>
              <w:left w:val="single" w:color="auto" w:sz="4" w:space="0"/>
              <w:bottom w:val="single" w:color="auto" w:sz="4" w:space="0"/>
              <w:right w:val="single" w:color="auto" w:sz="4" w:space="0"/>
            </w:tcBorders>
            <w:vAlign w:val="center"/>
          </w:tcPr>
          <w:p w14:paraId="3EABD252">
            <w:pPr>
              <w:jc w:val="center"/>
              <w:rPr>
                <w:rFonts w:hint="eastAsia" w:ascii="宋体" w:hAnsi="宋体" w:eastAsia="宋体" w:cs="宋体"/>
                <w:sz w:val="22"/>
                <w:highlight w:val="none"/>
              </w:rPr>
            </w:pPr>
            <w:r>
              <w:rPr>
                <w:rFonts w:hint="eastAsia" w:ascii="宋体" w:hAnsi="宋体" w:eastAsia="宋体" w:cs="宋体"/>
                <w:sz w:val="22"/>
                <w:highlight w:val="none"/>
              </w:rPr>
              <w:t>投标总报价（元）</w:t>
            </w:r>
          </w:p>
        </w:tc>
        <w:tc>
          <w:tcPr>
            <w:tcW w:w="1320" w:type="dxa"/>
            <w:tcBorders>
              <w:top w:val="single" w:color="auto" w:sz="4" w:space="0"/>
              <w:left w:val="single" w:color="auto" w:sz="4" w:space="0"/>
              <w:bottom w:val="single" w:color="auto" w:sz="4" w:space="0"/>
              <w:right w:val="single" w:color="auto" w:sz="4" w:space="0"/>
            </w:tcBorders>
            <w:vAlign w:val="center"/>
          </w:tcPr>
          <w:p w14:paraId="0B722CB8">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服务期限</w:t>
            </w:r>
          </w:p>
        </w:tc>
        <w:tc>
          <w:tcPr>
            <w:tcW w:w="1320" w:type="dxa"/>
            <w:tcBorders>
              <w:top w:val="single" w:color="auto" w:sz="4" w:space="0"/>
              <w:left w:val="single" w:color="auto" w:sz="4" w:space="0"/>
              <w:bottom w:val="single" w:color="auto" w:sz="4" w:space="0"/>
              <w:right w:val="single" w:color="auto" w:sz="4" w:space="0"/>
            </w:tcBorders>
            <w:vAlign w:val="center"/>
          </w:tcPr>
          <w:p w14:paraId="71B2CE51">
            <w:pPr>
              <w:jc w:val="center"/>
              <w:rPr>
                <w:rFonts w:hint="eastAsia" w:ascii="宋体" w:hAnsi="宋体" w:eastAsia="宋体" w:cs="宋体"/>
                <w:sz w:val="22"/>
                <w:highlight w:val="none"/>
              </w:rPr>
            </w:pPr>
            <w:r>
              <w:rPr>
                <w:rFonts w:hint="eastAsia" w:ascii="宋体" w:hAnsi="宋体" w:eastAsia="宋体" w:cs="宋体"/>
                <w:sz w:val="22"/>
                <w:highlight w:val="none"/>
              </w:rPr>
              <w:t>备注</w:t>
            </w:r>
          </w:p>
        </w:tc>
      </w:tr>
      <w:tr w14:paraId="17DB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14:paraId="160853AC">
            <w:pPr>
              <w:jc w:val="center"/>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鳌江停车区物业服务</w:t>
            </w:r>
          </w:p>
        </w:tc>
        <w:tc>
          <w:tcPr>
            <w:tcW w:w="4849" w:type="dxa"/>
            <w:tcBorders>
              <w:top w:val="single" w:color="auto" w:sz="4" w:space="0"/>
              <w:left w:val="single" w:color="auto" w:sz="4" w:space="0"/>
              <w:bottom w:val="single" w:color="auto" w:sz="4" w:space="0"/>
              <w:right w:val="single" w:color="auto" w:sz="4" w:space="0"/>
            </w:tcBorders>
            <w:vAlign w:val="center"/>
          </w:tcPr>
          <w:p w14:paraId="6A154C2E">
            <w:pPr>
              <w:spacing w:line="360" w:lineRule="auto"/>
              <w:rPr>
                <w:rFonts w:hint="eastAsia" w:ascii="宋体" w:hAnsi="宋体" w:eastAsia="宋体" w:cs="宋体"/>
                <w:sz w:val="22"/>
                <w:highlight w:val="none"/>
              </w:rPr>
            </w:pPr>
            <w:r>
              <w:rPr>
                <w:rFonts w:hint="eastAsia" w:ascii="宋体" w:hAnsi="宋体" w:eastAsia="宋体" w:cs="宋体"/>
                <w:sz w:val="22"/>
                <w:highlight w:val="none"/>
              </w:rPr>
              <w:t>大写：</w:t>
            </w:r>
          </w:p>
          <w:p w14:paraId="7A2714D3">
            <w:pPr>
              <w:spacing w:line="360" w:lineRule="auto"/>
              <w:rPr>
                <w:rFonts w:hint="eastAsia" w:ascii="宋体" w:hAnsi="宋体" w:eastAsia="宋体" w:cs="宋体"/>
                <w:sz w:val="22"/>
                <w:highlight w:val="none"/>
              </w:rPr>
            </w:pPr>
            <w:r>
              <w:rPr>
                <w:rFonts w:hint="eastAsia" w:ascii="宋体" w:hAnsi="宋体" w:eastAsia="宋体" w:cs="宋体"/>
                <w:sz w:val="22"/>
                <w:highlight w:val="none"/>
              </w:rPr>
              <w:t>小写：</w:t>
            </w:r>
          </w:p>
        </w:tc>
        <w:tc>
          <w:tcPr>
            <w:tcW w:w="1320" w:type="dxa"/>
            <w:tcBorders>
              <w:top w:val="single" w:color="auto" w:sz="4" w:space="0"/>
              <w:left w:val="single" w:color="auto" w:sz="4" w:space="0"/>
              <w:right w:val="single" w:color="auto" w:sz="4" w:space="0"/>
            </w:tcBorders>
            <w:vAlign w:val="center"/>
          </w:tcPr>
          <w:p w14:paraId="4397D92D">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320" w:type="dxa"/>
            <w:tcBorders>
              <w:top w:val="single" w:color="auto" w:sz="4" w:space="0"/>
              <w:left w:val="single" w:color="auto" w:sz="4" w:space="0"/>
              <w:right w:val="single" w:color="auto" w:sz="4" w:space="0"/>
            </w:tcBorders>
            <w:vAlign w:val="center"/>
          </w:tcPr>
          <w:p w14:paraId="44AA2131">
            <w:pPr>
              <w:jc w:val="center"/>
              <w:rPr>
                <w:rFonts w:hint="eastAsia" w:ascii="宋体" w:hAnsi="宋体" w:eastAsia="宋体" w:cs="宋体"/>
                <w:sz w:val="22"/>
                <w:highlight w:val="none"/>
              </w:rPr>
            </w:pPr>
          </w:p>
        </w:tc>
      </w:tr>
    </w:tbl>
    <w:p w14:paraId="773F3533">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14:paraId="57B84C1F">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1、投标报价包含的内容详见投标人须知第12条规定。</w:t>
      </w:r>
    </w:p>
    <w:p w14:paraId="1A817DFA">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2、此栏内投标总报价应与附件</w:t>
      </w:r>
      <w:r>
        <w:rPr>
          <w:rFonts w:hint="eastAsia" w:ascii="宋体" w:hAnsi="宋体" w:eastAsia="宋体" w:cs="宋体"/>
          <w:sz w:val="22"/>
          <w:szCs w:val="24"/>
          <w:highlight w:val="none"/>
          <w:lang w:val="en-US" w:eastAsia="zh-CN"/>
        </w:rPr>
        <w:t>十一</w:t>
      </w:r>
      <w:r>
        <w:rPr>
          <w:rFonts w:hint="eastAsia" w:ascii="宋体" w:hAnsi="宋体" w:eastAsia="宋体" w:cs="宋体"/>
          <w:sz w:val="22"/>
          <w:szCs w:val="24"/>
          <w:highlight w:val="none"/>
        </w:rPr>
        <w:t>“投标分项报价表”中总计价相一致。</w:t>
      </w:r>
    </w:p>
    <w:p w14:paraId="2F638B4E">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rPr>
        <w:t>3、▲不提供此表格将被视为没有满足采购文件的实质性要求</w:t>
      </w:r>
      <w:r>
        <w:rPr>
          <w:rFonts w:hint="eastAsia" w:ascii="宋体" w:hAnsi="宋体" w:eastAsia="宋体" w:cs="宋体"/>
          <w:sz w:val="22"/>
          <w:szCs w:val="24"/>
          <w:highlight w:val="none"/>
        </w:rPr>
        <w:t>。</w:t>
      </w:r>
    </w:p>
    <w:p w14:paraId="0D693361">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rPr>
        <w:t>4、▲以上报价不得出现在技术标中</w:t>
      </w:r>
      <w:r>
        <w:rPr>
          <w:rFonts w:hint="eastAsia" w:ascii="宋体" w:hAnsi="宋体" w:eastAsia="宋体" w:cs="宋体"/>
          <w:sz w:val="22"/>
          <w:szCs w:val="24"/>
          <w:highlight w:val="none"/>
        </w:rPr>
        <w:t>。</w:t>
      </w:r>
    </w:p>
    <w:p w14:paraId="678F85FC">
      <w:pPr>
        <w:spacing w:line="380" w:lineRule="exact"/>
        <w:rPr>
          <w:rFonts w:hint="eastAsia" w:ascii="宋体" w:hAnsi="宋体" w:eastAsia="宋体" w:cs="宋体"/>
          <w:b/>
          <w:bCs/>
          <w:sz w:val="22"/>
          <w:highlight w:val="none"/>
          <w:u w:val="single"/>
        </w:rPr>
      </w:pPr>
    </w:p>
    <w:p w14:paraId="6228B5FC">
      <w:pPr>
        <w:spacing w:line="380" w:lineRule="exact"/>
        <w:rPr>
          <w:rFonts w:hint="eastAsia" w:ascii="宋体" w:hAnsi="宋体" w:eastAsia="宋体" w:cs="宋体"/>
          <w:sz w:val="22"/>
          <w:szCs w:val="24"/>
          <w:highlight w:val="none"/>
        </w:rPr>
      </w:pPr>
    </w:p>
    <w:p w14:paraId="5D1B02AE">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2DBCC4A2">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3667FD4F">
      <w:pPr>
        <w:rPr>
          <w:rFonts w:hint="eastAsia" w:ascii="宋体" w:hAnsi="宋体" w:eastAsia="宋体" w:cs="宋体"/>
          <w:sz w:val="22"/>
          <w:highlight w:val="none"/>
        </w:rPr>
      </w:pPr>
      <w:r>
        <w:rPr>
          <w:rFonts w:hint="eastAsia" w:ascii="宋体" w:hAnsi="宋体" w:eastAsia="宋体" w:cs="宋体"/>
          <w:sz w:val="22"/>
          <w:highlight w:val="none"/>
        </w:rPr>
        <w:t>日  期：</w:t>
      </w:r>
    </w:p>
    <w:p w14:paraId="496B3013">
      <w:pPr>
        <w:spacing w:line="380" w:lineRule="exact"/>
        <w:rPr>
          <w:rFonts w:hint="eastAsia" w:ascii="宋体" w:hAnsi="宋体" w:eastAsia="宋体" w:cs="宋体"/>
          <w:b/>
          <w:bCs/>
          <w:sz w:val="22"/>
          <w:highlight w:val="none"/>
          <w:lang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十一</w:t>
      </w:r>
    </w:p>
    <w:p w14:paraId="4C06428A">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投标分项报价表</w:t>
      </w:r>
    </w:p>
    <w:p w14:paraId="5B9B7574">
      <w:pPr>
        <w:spacing w:line="380" w:lineRule="exact"/>
        <w:ind w:firstLine="331" w:firstLineChars="150"/>
        <w:rPr>
          <w:rFonts w:hint="eastAsia" w:ascii="宋体" w:hAnsi="宋体" w:eastAsia="宋体" w:cs="宋体"/>
          <w:b/>
          <w:bCs/>
          <w:sz w:val="22"/>
          <w:highlight w:val="none"/>
        </w:rPr>
      </w:pPr>
      <w:bookmarkStart w:id="196" w:name="_Toc249758871"/>
      <w:bookmarkStart w:id="197" w:name="_Toc249758721"/>
      <w:bookmarkStart w:id="198" w:name="_Toc448846626"/>
      <w:bookmarkStart w:id="199" w:name="_Toc262049425"/>
      <w:bookmarkStart w:id="200" w:name="_Toc262105510"/>
      <w:r>
        <w:rPr>
          <w:rFonts w:hint="eastAsia" w:ascii="宋体" w:hAnsi="宋体" w:eastAsia="宋体" w:cs="宋体"/>
          <w:b/>
          <w:bCs/>
          <w:sz w:val="22"/>
          <w:highlight w:val="none"/>
        </w:rPr>
        <w:t xml:space="preserve">项目名称：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项目编号：</w:t>
      </w:r>
    </w:p>
    <w:tbl>
      <w:tblPr>
        <w:tblStyle w:val="2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534"/>
        <w:gridCol w:w="515"/>
        <w:gridCol w:w="1094"/>
        <w:gridCol w:w="928"/>
        <w:gridCol w:w="6"/>
        <w:gridCol w:w="1394"/>
        <w:gridCol w:w="1387"/>
        <w:gridCol w:w="2907"/>
      </w:tblGrid>
      <w:tr w14:paraId="481F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noWrap w:val="0"/>
            <w:vAlign w:val="center"/>
          </w:tcPr>
          <w:p w14:paraId="7F565891">
            <w:pPr>
              <w:shd w:val="clear" w:color="auto" w:fill="auto"/>
              <w:tabs>
                <w:tab w:val="left" w:pos="1620"/>
              </w:tabs>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534" w:type="dxa"/>
            <w:noWrap w:val="0"/>
            <w:vAlign w:val="center"/>
          </w:tcPr>
          <w:p w14:paraId="0D0ECFAD">
            <w:pPr>
              <w:shd w:val="clear" w:color="auto" w:fill="auto"/>
              <w:tabs>
                <w:tab w:val="left" w:pos="1620"/>
              </w:tabs>
              <w:jc w:val="center"/>
              <w:rPr>
                <w:rFonts w:hint="eastAsia" w:ascii="宋体" w:hAnsi="宋体" w:eastAsia="宋体" w:cs="宋体"/>
                <w:b/>
                <w:color w:val="auto"/>
                <w:sz w:val="18"/>
                <w:szCs w:val="18"/>
                <w:highlight w:val="none"/>
              </w:rPr>
            </w:pPr>
          </w:p>
        </w:tc>
        <w:tc>
          <w:tcPr>
            <w:tcW w:w="1609" w:type="dxa"/>
            <w:gridSpan w:val="2"/>
            <w:noWrap w:val="0"/>
            <w:vAlign w:val="center"/>
          </w:tcPr>
          <w:p w14:paraId="1585CB53">
            <w:pPr>
              <w:shd w:val="clear" w:color="auto" w:fill="auto"/>
              <w:tabs>
                <w:tab w:val="left" w:pos="1620"/>
              </w:tabs>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    容</w:t>
            </w:r>
          </w:p>
        </w:tc>
        <w:tc>
          <w:tcPr>
            <w:tcW w:w="928" w:type="dxa"/>
            <w:noWrap w:val="0"/>
            <w:vAlign w:val="center"/>
          </w:tcPr>
          <w:p w14:paraId="7B18521E">
            <w:pPr>
              <w:shd w:val="clear" w:color="auto" w:fill="auto"/>
              <w:tabs>
                <w:tab w:val="left" w:pos="1620"/>
              </w:tabs>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数量（岗位）</w:t>
            </w:r>
          </w:p>
        </w:tc>
        <w:tc>
          <w:tcPr>
            <w:tcW w:w="1400" w:type="dxa"/>
            <w:gridSpan w:val="2"/>
            <w:noWrap w:val="0"/>
            <w:vAlign w:val="center"/>
          </w:tcPr>
          <w:p w14:paraId="35404404">
            <w:pPr>
              <w:shd w:val="clear" w:color="auto" w:fill="auto"/>
              <w:tabs>
                <w:tab w:val="left" w:pos="1620"/>
              </w:tabs>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lang w:val="en-US" w:eastAsia="zh-CN"/>
              </w:rPr>
              <w:t>综合</w:t>
            </w:r>
            <w:r>
              <w:rPr>
                <w:rFonts w:hint="eastAsia" w:ascii="宋体" w:hAnsi="宋体" w:eastAsia="宋体" w:cs="宋体"/>
                <w:b/>
                <w:color w:val="auto"/>
                <w:sz w:val="18"/>
                <w:szCs w:val="18"/>
                <w:highlight w:val="none"/>
              </w:rPr>
              <w:t>单价</w:t>
            </w:r>
          </w:p>
          <w:p w14:paraId="1E84D866">
            <w:pPr>
              <w:shd w:val="clear" w:color="auto" w:fill="auto"/>
              <w:tabs>
                <w:tab w:val="left" w:pos="1620"/>
              </w:tabs>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（元/岗位/年）</w:t>
            </w:r>
          </w:p>
        </w:tc>
        <w:tc>
          <w:tcPr>
            <w:tcW w:w="1387" w:type="dxa"/>
            <w:noWrap w:val="0"/>
            <w:vAlign w:val="center"/>
          </w:tcPr>
          <w:p w14:paraId="23950C0D">
            <w:pPr>
              <w:shd w:val="clear" w:color="auto" w:fill="auto"/>
              <w:tabs>
                <w:tab w:val="left" w:pos="1620"/>
              </w:tabs>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合价</w:t>
            </w:r>
          </w:p>
          <w:p w14:paraId="10291EBB">
            <w:pPr>
              <w:shd w:val="clear" w:color="auto" w:fill="auto"/>
              <w:tabs>
                <w:tab w:val="left" w:pos="1620"/>
              </w:tabs>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（元/年）</w:t>
            </w:r>
          </w:p>
        </w:tc>
        <w:tc>
          <w:tcPr>
            <w:tcW w:w="2907" w:type="dxa"/>
            <w:noWrap w:val="0"/>
            <w:vAlign w:val="center"/>
          </w:tcPr>
          <w:p w14:paraId="17971B79">
            <w:pPr>
              <w:shd w:val="clear" w:color="auto" w:fill="auto"/>
              <w:tabs>
                <w:tab w:val="left" w:pos="1620"/>
              </w:tabs>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备  注</w:t>
            </w:r>
          </w:p>
        </w:tc>
      </w:tr>
      <w:tr w14:paraId="45DF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vMerge w:val="restart"/>
            <w:noWrap w:val="0"/>
            <w:vAlign w:val="center"/>
          </w:tcPr>
          <w:p w14:paraId="2260DB73">
            <w:pPr>
              <w:shd w:val="clear" w:color="auto" w:fill="auto"/>
              <w:tabs>
                <w:tab w:val="left" w:pos="1620"/>
              </w:tabs>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534" w:type="dxa"/>
            <w:vMerge w:val="restart"/>
            <w:noWrap w:val="0"/>
            <w:vAlign w:val="center"/>
          </w:tcPr>
          <w:p w14:paraId="1F432D4E">
            <w:pPr>
              <w:shd w:val="clear" w:color="auto" w:fill="auto"/>
              <w:tabs>
                <w:tab w:val="left" w:pos="1050"/>
                <w:tab w:val="left" w:pos="1260"/>
                <w:tab w:val="left" w:pos="1620"/>
              </w:tabs>
              <w:ind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人员费用</w:t>
            </w:r>
          </w:p>
        </w:tc>
        <w:tc>
          <w:tcPr>
            <w:tcW w:w="515" w:type="dxa"/>
            <w:vMerge w:val="restart"/>
            <w:noWrap w:val="0"/>
            <w:vAlign w:val="center"/>
          </w:tcPr>
          <w:p w14:paraId="399F5D74">
            <w:pPr>
              <w:shd w:val="clear" w:color="auto" w:fill="auto"/>
              <w:tabs>
                <w:tab w:val="left" w:pos="1050"/>
                <w:tab w:val="left" w:pos="1260"/>
                <w:tab w:val="left" w:pos="1620"/>
              </w:tabs>
              <w:ind w:left="-107" w:leftChars="-51"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日常人员工资</w:t>
            </w:r>
          </w:p>
        </w:tc>
        <w:tc>
          <w:tcPr>
            <w:tcW w:w="1094" w:type="dxa"/>
            <w:noWrap w:val="0"/>
            <w:vAlign w:val="center"/>
          </w:tcPr>
          <w:p w14:paraId="1942D166">
            <w:pPr>
              <w:shd w:val="clear" w:color="auto" w:fill="auto"/>
              <w:tabs>
                <w:tab w:val="left" w:pos="1620"/>
              </w:tabs>
              <w:ind w:left="-107" w:leftChars="-51" w:right="-107" w:rightChars="-51"/>
              <w:jc w:val="center"/>
              <w:rPr>
                <w:rFonts w:hint="eastAsia" w:ascii="宋体" w:hAnsi="宋体" w:eastAsia="宋体" w:cs="宋体"/>
                <w:snapToGrid w:val="0"/>
                <w:color w:val="auto"/>
                <w:sz w:val="18"/>
                <w:szCs w:val="18"/>
                <w:highlight w:val="none"/>
              </w:rPr>
            </w:pPr>
            <w:r>
              <w:rPr>
                <w:rFonts w:hint="eastAsia" w:ascii="宋体" w:hAnsi="宋体" w:eastAsia="宋体" w:cs="宋体"/>
                <w:color w:val="auto"/>
                <w:sz w:val="18"/>
                <w:szCs w:val="18"/>
                <w:highlight w:val="none"/>
                <w:lang w:bidi="ar"/>
              </w:rPr>
              <w:t>物业经理</w:t>
            </w:r>
          </w:p>
        </w:tc>
        <w:tc>
          <w:tcPr>
            <w:tcW w:w="928" w:type="dxa"/>
            <w:noWrap w:val="0"/>
            <w:vAlign w:val="center"/>
          </w:tcPr>
          <w:p w14:paraId="439E457F">
            <w:pPr>
              <w:shd w:val="clear" w:color="auto" w:fill="auto"/>
              <w:tabs>
                <w:tab w:val="left" w:pos="1620"/>
              </w:tabs>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400" w:type="dxa"/>
            <w:gridSpan w:val="2"/>
            <w:noWrap w:val="0"/>
            <w:vAlign w:val="center"/>
          </w:tcPr>
          <w:p w14:paraId="1767A56D">
            <w:pPr>
              <w:shd w:val="clear" w:color="auto" w:fill="auto"/>
              <w:tabs>
                <w:tab w:val="left" w:pos="1620"/>
              </w:tabs>
              <w:jc w:val="center"/>
              <w:rPr>
                <w:rFonts w:hint="eastAsia" w:ascii="宋体" w:hAnsi="宋体" w:eastAsia="宋体" w:cs="宋体"/>
                <w:color w:val="auto"/>
                <w:sz w:val="18"/>
                <w:szCs w:val="18"/>
                <w:highlight w:val="none"/>
              </w:rPr>
            </w:pPr>
          </w:p>
        </w:tc>
        <w:tc>
          <w:tcPr>
            <w:tcW w:w="1387" w:type="dxa"/>
            <w:noWrap w:val="0"/>
            <w:vAlign w:val="center"/>
          </w:tcPr>
          <w:p w14:paraId="6A1A7C43">
            <w:pPr>
              <w:shd w:val="clear" w:color="auto" w:fill="auto"/>
              <w:tabs>
                <w:tab w:val="left" w:pos="1620"/>
              </w:tabs>
              <w:jc w:val="center"/>
              <w:rPr>
                <w:rFonts w:hint="eastAsia" w:ascii="宋体" w:hAnsi="宋体" w:eastAsia="宋体" w:cs="宋体"/>
                <w:color w:val="auto"/>
                <w:sz w:val="18"/>
                <w:szCs w:val="18"/>
                <w:highlight w:val="none"/>
              </w:rPr>
            </w:pPr>
          </w:p>
        </w:tc>
        <w:tc>
          <w:tcPr>
            <w:tcW w:w="2907" w:type="dxa"/>
            <w:vMerge w:val="restart"/>
            <w:shd w:val="clear" w:color="auto" w:fill="auto"/>
            <w:noWrap w:val="0"/>
            <w:vAlign w:val="center"/>
          </w:tcPr>
          <w:p w14:paraId="1FFEDF77">
            <w:pPr>
              <w:shd w:val="clear" w:color="auto" w:fill="auto"/>
              <w:tabs>
                <w:tab w:val="left" w:pos="1620"/>
              </w:tabs>
              <w:jc w:val="both"/>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根据不同岗位分别列出，人员费用包含人员工资、社保、高温费用、餐费及其他（包括加班费、制服等）。</w:t>
            </w:r>
          </w:p>
        </w:tc>
      </w:tr>
      <w:tr w14:paraId="0DF2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vMerge w:val="continue"/>
            <w:noWrap w:val="0"/>
            <w:vAlign w:val="center"/>
          </w:tcPr>
          <w:p w14:paraId="37CAE9BA">
            <w:pPr>
              <w:shd w:val="clear" w:color="auto" w:fill="auto"/>
              <w:tabs>
                <w:tab w:val="left" w:pos="1620"/>
              </w:tabs>
              <w:jc w:val="center"/>
              <w:rPr>
                <w:rFonts w:hint="eastAsia" w:ascii="宋体" w:hAnsi="宋体" w:eastAsia="宋体" w:cs="宋体"/>
                <w:color w:val="auto"/>
                <w:sz w:val="18"/>
                <w:szCs w:val="18"/>
                <w:highlight w:val="none"/>
              </w:rPr>
            </w:pPr>
          </w:p>
        </w:tc>
        <w:tc>
          <w:tcPr>
            <w:tcW w:w="534" w:type="dxa"/>
            <w:vMerge w:val="continue"/>
            <w:noWrap w:val="0"/>
            <w:vAlign w:val="center"/>
          </w:tcPr>
          <w:p w14:paraId="3FD5723C">
            <w:pPr>
              <w:shd w:val="clear" w:color="auto" w:fill="auto"/>
              <w:tabs>
                <w:tab w:val="left" w:pos="1050"/>
                <w:tab w:val="left" w:pos="1260"/>
                <w:tab w:val="left" w:pos="1620"/>
              </w:tabs>
              <w:ind w:right="-107" w:rightChars="-51"/>
              <w:jc w:val="center"/>
              <w:rPr>
                <w:rFonts w:hint="eastAsia" w:ascii="宋体" w:hAnsi="宋体" w:eastAsia="宋体" w:cs="宋体"/>
                <w:color w:val="auto"/>
                <w:sz w:val="18"/>
                <w:szCs w:val="18"/>
                <w:highlight w:val="none"/>
              </w:rPr>
            </w:pPr>
          </w:p>
        </w:tc>
        <w:tc>
          <w:tcPr>
            <w:tcW w:w="515" w:type="dxa"/>
            <w:vMerge w:val="continue"/>
            <w:noWrap w:val="0"/>
            <w:vAlign w:val="center"/>
          </w:tcPr>
          <w:p w14:paraId="6373B420">
            <w:pPr>
              <w:shd w:val="clear" w:color="auto" w:fill="auto"/>
              <w:tabs>
                <w:tab w:val="left" w:pos="1050"/>
                <w:tab w:val="left" w:pos="1260"/>
                <w:tab w:val="left" w:pos="1620"/>
              </w:tabs>
              <w:ind w:left="-107" w:leftChars="-51" w:right="-107" w:rightChars="-51"/>
              <w:jc w:val="center"/>
              <w:rPr>
                <w:rFonts w:hint="eastAsia" w:ascii="宋体" w:hAnsi="宋体" w:eastAsia="宋体" w:cs="宋体"/>
                <w:color w:val="auto"/>
                <w:sz w:val="18"/>
                <w:szCs w:val="18"/>
                <w:highlight w:val="none"/>
              </w:rPr>
            </w:pPr>
          </w:p>
        </w:tc>
        <w:tc>
          <w:tcPr>
            <w:tcW w:w="1094" w:type="dxa"/>
            <w:noWrap w:val="0"/>
            <w:vAlign w:val="center"/>
          </w:tcPr>
          <w:p w14:paraId="4475A8BF">
            <w:pPr>
              <w:shd w:val="clear" w:color="auto" w:fill="auto"/>
              <w:tabs>
                <w:tab w:val="left" w:pos="1620"/>
              </w:tabs>
              <w:ind w:left="-107" w:leftChars="-51" w:right="-107" w:rightChars="-51"/>
              <w:jc w:val="center"/>
              <w:rPr>
                <w:rFonts w:hint="eastAsia" w:ascii="宋体" w:hAnsi="宋体" w:eastAsia="宋体" w:cs="宋体"/>
                <w:snapToGrid w:val="0"/>
                <w:color w:val="auto"/>
                <w:sz w:val="18"/>
                <w:szCs w:val="18"/>
                <w:highlight w:val="none"/>
              </w:rPr>
            </w:pPr>
            <w:r>
              <w:rPr>
                <w:rFonts w:hint="eastAsia" w:ascii="宋体" w:hAnsi="宋体" w:eastAsia="宋体" w:cs="宋体"/>
                <w:color w:val="auto"/>
                <w:sz w:val="18"/>
                <w:szCs w:val="18"/>
                <w:highlight w:val="none"/>
                <w:lang w:bidi="ar"/>
              </w:rPr>
              <w:t>水电工</w:t>
            </w:r>
          </w:p>
        </w:tc>
        <w:tc>
          <w:tcPr>
            <w:tcW w:w="928" w:type="dxa"/>
            <w:noWrap w:val="0"/>
            <w:vAlign w:val="center"/>
          </w:tcPr>
          <w:p w14:paraId="46B01E39">
            <w:pPr>
              <w:shd w:val="clear" w:color="auto" w:fill="auto"/>
              <w:tabs>
                <w:tab w:val="left" w:pos="1620"/>
              </w:tabs>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400" w:type="dxa"/>
            <w:gridSpan w:val="2"/>
            <w:noWrap w:val="0"/>
            <w:vAlign w:val="center"/>
          </w:tcPr>
          <w:p w14:paraId="303AAD15">
            <w:pPr>
              <w:shd w:val="clear" w:color="auto" w:fill="auto"/>
              <w:tabs>
                <w:tab w:val="left" w:pos="1620"/>
              </w:tabs>
              <w:jc w:val="center"/>
              <w:rPr>
                <w:rFonts w:hint="eastAsia" w:ascii="宋体" w:hAnsi="宋体" w:eastAsia="宋体" w:cs="宋体"/>
                <w:color w:val="auto"/>
                <w:sz w:val="18"/>
                <w:szCs w:val="18"/>
                <w:highlight w:val="none"/>
              </w:rPr>
            </w:pPr>
          </w:p>
        </w:tc>
        <w:tc>
          <w:tcPr>
            <w:tcW w:w="1387" w:type="dxa"/>
            <w:noWrap w:val="0"/>
            <w:vAlign w:val="center"/>
          </w:tcPr>
          <w:p w14:paraId="7A2977B7">
            <w:pPr>
              <w:shd w:val="clear" w:color="auto" w:fill="auto"/>
              <w:tabs>
                <w:tab w:val="left" w:pos="1620"/>
              </w:tabs>
              <w:jc w:val="center"/>
              <w:rPr>
                <w:rFonts w:hint="eastAsia" w:ascii="宋体" w:hAnsi="宋体" w:eastAsia="宋体" w:cs="宋体"/>
                <w:color w:val="auto"/>
                <w:sz w:val="18"/>
                <w:szCs w:val="18"/>
                <w:highlight w:val="none"/>
              </w:rPr>
            </w:pPr>
          </w:p>
        </w:tc>
        <w:tc>
          <w:tcPr>
            <w:tcW w:w="2907" w:type="dxa"/>
            <w:vMerge w:val="continue"/>
            <w:noWrap w:val="0"/>
            <w:vAlign w:val="center"/>
          </w:tcPr>
          <w:p w14:paraId="4A538E2A">
            <w:pPr>
              <w:shd w:val="clear" w:color="auto" w:fill="auto"/>
              <w:tabs>
                <w:tab w:val="left" w:pos="1620"/>
              </w:tabs>
              <w:jc w:val="both"/>
              <w:rPr>
                <w:rFonts w:hint="eastAsia" w:ascii="宋体" w:hAnsi="宋体" w:eastAsia="宋体" w:cs="宋体"/>
                <w:color w:val="auto"/>
                <w:kern w:val="2"/>
                <w:sz w:val="18"/>
                <w:szCs w:val="18"/>
                <w:highlight w:val="none"/>
                <w:lang w:val="en-US" w:eastAsia="zh-CN" w:bidi="ar-SA"/>
              </w:rPr>
            </w:pPr>
          </w:p>
        </w:tc>
      </w:tr>
      <w:tr w14:paraId="70F4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vMerge w:val="continue"/>
            <w:noWrap w:val="0"/>
            <w:vAlign w:val="center"/>
          </w:tcPr>
          <w:p w14:paraId="49C3D6DD">
            <w:pPr>
              <w:shd w:val="clear" w:color="auto" w:fill="auto"/>
              <w:tabs>
                <w:tab w:val="left" w:pos="1620"/>
              </w:tabs>
              <w:jc w:val="center"/>
              <w:rPr>
                <w:rFonts w:hint="eastAsia" w:ascii="宋体" w:hAnsi="宋体" w:eastAsia="宋体" w:cs="宋体"/>
                <w:color w:val="auto"/>
                <w:sz w:val="18"/>
                <w:szCs w:val="18"/>
                <w:highlight w:val="none"/>
              </w:rPr>
            </w:pPr>
          </w:p>
        </w:tc>
        <w:tc>
          <w:tcPr>
            <w:tcW w:w="534" w:type="dxa"/>
            <w:vMerge w:val="continue"/>
            <w:noWrap w:val="0"/>
            <w:vAlign w:val="center"/>
          </w:tcPr>
          <w:p w14:paraId="5080C306">
            <w:pPr>
              <w:shd w:val="clear" w:color="auto" w:fill="auto"/>
              <w:tabs>
                <w:tab w:val="left" w:pos="1050"/>
                <w:tab w:val="left" w:pos="1260"/>
                <w:tab w:val="left" w:pos="1620"/>
              </w:tabs>
              <w:ind w:right="-107" w:rightChars="-51"/>
              <w:jc w:val="center"/>
              <w:rPr>
                <w:rFonts w:hint="eastAsia" w:ascii="宋体" w:hAnsi="宋体" w:eastAsia="宋体" w:cs="宋体"/>
                <w:color w:val="auto"/>
                <w:sz w:val="18"/>
                <w:szCs w:val="18"/>
                <w:highlight w:val="none"/>
              </w:rPr>
            </w:pPr>
          </w:p>
        </w:tc>
        <w:tc>
          <w:tcPr>
            <w:tcW w:w="515" w:type="dxa"/>
            <w:vMerge w:val="continue"/>
            <w:noWrap w:val="0"/>
            <w:vAlign w:val="center"/>
          </w:tcPr>
          <w:p w14:paraId="29BCFB36">
            <w:pPr>
              <w:shd w:val="clear" w:color="auto" w:fill="auto"/>
              <w:tabs>
                <w:tab w:val="left" w:pos="1050"/>
                <w:tab w:val="left" w:pos="1260"/>
                <w:tab w:val="left" w:pos="1620"/>
              </w:tabs>
              <w:ind w:left="-107" w:leftChars="-51" w:right="-107" w:rightChars="-51"/>
              <w:jc w:val="center"/>
              <w:rPr>
                <w:rFonts w:hint="eastAsia" w:ascii="宋体" w:hAnsi="宋体" w:eastAsia="宋体" w:cs="宋体"/>
                <w:color w:val="auto"/>
                <w:sz w:val="18"/>
                <w:szCs w:val="18"/>
                <w:highlight w:val="none"/>
              </w:rPr>
            </w:pPr>
          </w:p>
        </w:tc>
        <w:tc>
          <w:tcPr>
            <w:tcW w:w="1094" w:type="dxa"/>
            <w:noWrap w:val="0"/>
            <w:vAlign w:val="center"/>
          </w:tcPr>
          <w:p w14:paraId="55B6BBBE">
            <w:pPr>
              <w:shd w:val="clear" w:color="auto" w:fill="auto"/>
              <w:tabs>
                <w:tab w:val="left" w:pos="1620"/>
              </w:tabs>
              <w:ind w:left="-107" w:leftChars="-51" w:right="-107" w:rightChars="-51"/>
              <w:jc w:val="center"/>
              <w:rPr>
                <w:rFonts w:hint="eastAsia" w:ascii="宋体" w:hAnsi="宋体" w:eastAsia="宋体" w:cs="宋体"/>
                <w:snapToGrid w:val="0"/>
                <w:color w:val="auto"/>
                <w:sz w:val="18"/>
                <w:szCs w:val="18"/>
                <w:highlight w:val="none"/>
              </w:rPr>
            </w:pPr>
            <w:r>
              <w:rPr>
                <w:rFonts w:hint="eastAsia" w:ascii="宋体" w:hAnsi="宋体" w:eastAsia="宋体" w:cs="宋体"/>
                <w:color w:val="auto"/>
                <w:sz w:val="18"/>
                <w:szCs w:val="18"/>
                <w:highlight w:val="none"/>
                <w:lang w:bidi="ar"/>
              </w:rPr>
              <w:t>保安队长</w:t>
            </w:r>
          </w:p>
        </w:tc>
        <w:tc>
          <w:tcPr>
            <w:tcW w:w="928" w:type="dxa"/>
            <w:noWrap w:val="0"/>
            <w:vAlign w:val="center"/>
          </w:tcPr>
          <w:p w14:paraId="0814101F">
            <w:pPr>
              <w:shd w:val="clear" w:color="auto" w:fill="auto"/>
              <w:tabs>
                <w:tab w:val="left" w:pos="1620"/>
              </w:tabs>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400" w:type="dxa"/>
            <w:gridSpan w:val="2"/>
            <w:noWrap w:val="0"/>
            <w:vAlign w:val="center"/>
          </w:tcPr>
          <w:p w14:paraId="1D06DD95">
            <w:pPr>
              <w:shd w:val="clear" w:color="auto" w:fill="auto"/>
              <w:tabs>
                <w:tab w:val="left" w:pos="1620"/>
              </w:tabs>
              <w:jc w:val="center"/>
              <w:rPr>
                <w:rFonts w:hint="eastAsia" w:ascii="宋体" w:hAnsi="宋体" w:eastAsia="宋体" w:cs="宋体"/>
                <w:color w:val="auto"/>
                <w:sz w:val="18"/>
                <w:szCs w:val="18"/>
                <w:highlight w:val="none"/>
              </w:rPr>
            </w:pPr>
          </w:p>
        </w:tc>
        <w:tc>
          <w:tcPr>
            <w:tcW w:w="1387" w:type="dxa"/>
            <w:noWrap w:val="0"/>
            <w:vAlign w:val="center"/>
          </w:tcPr>
          <w:p w14:paraId="49673A1A">
            <w:pPr>
              <w:shd w:val="clear" w:color="auto" w:fill="auto"/>
              <w:tabs>
                <w:tab w:val="left" w:pos="1620"/>
              </w:tabs>
              <w:jc w:val="center"/>
              <w:rPr>
                <w:rFonts w:hint="eastAsia" w:ascii="宋体" w:hAnsi="宋体" w:eastAsia="宋体" w:cs="宋体"/>
                <w:color w:val="auto"/>
                <w:sz w:val="18"/>
                <w:szCs w:val="18"/>
                <w:highlight w:val="none"/>
              </w:rPr>
            </w:pPr>
          </w:p>
        </w:tc>
        <w:tc>
          <w:tcPr>
            <w:tcW w:w="2907" w:type="dxa"/>
            <w:vMerge w:val="continue"/>
            <w:noWrap w:val="0"/>
            <w:vAlign w:val="center"/>
          </w:tcPr>
          <w:p w14:paraId="6E4B96BF">
            <w:pPr>
              <w:shd w:val="clear" w:color="auto" w:fill="auto"/>
              <w:tabs>
                <w:tab w:val="left" w:pos="1620"/>
              </w:tabs>
              <w:jc w:val="both"/>
              <w:rPr>
                <w:rFonts w:hint="eastAsia" w:ascii="宋体" w:hAnsi="宋体" w:eastAsia="宋体" w:cs="宋体"/>
                <w:color w:val="auto"/>
                <w:kern w:val="2"/>
                <w:sz w:val="18"/>
                <w:szCs w:val="18"/>
                <w:highlight w:val="none"/>
                <w:lang w:val="en-US" w:eastAsia="zh-CN" w:bidi="ar-SA"/>
              </w:rPr>
            </w:pPr>
          </w:p>
        </w:tc>
      </w:tr>
      <w:tr w14:paraId="0725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vMerge w:val="continue"/>
            <w:noWrap w:val="0"/>
            <w:vAlign w:val="center"/>
          </w:tcPr>
          <w:p w14:paraId="7A660A84">
            <w:pPr>
              <w:shd w:val="clear" w:color="auto" w:fill="auto"/>
              <w:tabs>
                <w:tab w:val="left" w:pos="1620"/>
              </w:tabs>
              <w:jc w:val="center"/>
              <w:rPr>
                <w:rFonts w:hint="eastAsia" w:ascii="宋体" w:hAnsi="宋体" w:eastAsia="宋体" w:cs="宋体"/>
                <w:color w:val="auto"/>
                <w:sz w:val="18"/>
                <w:szCs w:val="18"/>
                <w:highlight w:val="none"/>
              </w:rPr>
            </w:pPr>
          </w:p>
        </w:tc>
        <w:tc>
          <w:tcPr>
            <w:tcW w:w="534" w:type="dxa"/>
            <w:vMerge w:val="continue"/>
            <w:noWrap w:val="0"/>
            <w:vAlign w:val="center"/>
          </w:tcPr>
          <w:p w14:paraId="27983504">
            <w:pPr>
              <w:shd w:val="clear" w:color="auto" w:fill="auto"/>
              <w:tabs>
                <w:tab w:val="left" w:pos="1050"/>
                <w:tab w:val="left" w:pos="1260"/>
                <w:tab w:val="left" w:pos="1620"/>
              </w:tabs>
              <w:ind w:right="-107" w:rightChars="-51"/>
              <w:jc w:val="center"/>
              <w:rPr>
                <w:rFonts w:hint="eastAsia" w:ascii="宋体" w:hAnsi="宋体" w:eastAsia="宋体" w:cs="宋体"/>
                <w:color w:val="auto"/>
                <w:sz w:val="18"/>
                <w:szCs w:val="18"/>
                <w:highlight w:val="none"/>
              </w:rPr>
            </w:pPr>
          </w:p>
        </w:tc>
        <w:tc>
          <w:tcPr>
            <w:tcW w:w="515" w:type="dxa"/>
            <w:vMerge w:val="continue"/>
            <w:noWrap w:val="0"/>
            <w:vAlign w:val="center"/>
          </w:tcPr>
          <w:p w14:paraId="788D2F06">
            <w:pPr>
              <w:shd w:val="clear" w:color="auto" w:fill="auto"/>
              <w:tabs>
                <w:tab w:val="left" w:pos="1050"/>
                <w:tab w:val="left" w:pos="1260"/>
                <w:tab w:val="left" w:pos="1620"/>
              </w:tabs>
              <w:ind w:left="-107" w:leftChars="-51" w:right="-107" w:rightChars="-51"/>
              <w:jc w:val="center"/>
              <w:rPr>
                <w:rFonts w:hint="eastAsia" w:ascii="宋体" w:hAnsi="宋体" w:eastAsia="宋体" w:cs="宋体"/>
                <w:color w:val="auto"/>
                <w:sz w:val="18"/>
                <w:szCs w:val="18"/>
                <w:highlight w:val="none"/>
              </w:rPr>
            </w:pPr>
          </w:p>
        </w:tc>
        <w:tc>
          <w:tcPr>
            <w:tcW w:w="1094" w:type="dxa"/>
            <w:noWrap w:val="0"/>
            <w:vAlign w:val="center"/>
          </w:tcPr>
          <w:p w14:paraId="6B925A69">
            <w:pPr>
              <w:shd w:val="clear" w:color="auto" w:fill="auto"/>
              <w:tabs>
                <w:tab w:val="left" w:pos="1620"/>
              </w:tabs>
              <w:ind w:left="-107" w:leftChars="-51" w:right="-107" w:rightChars="-51"/>
              <w:jc w:val="center"/>
              <w:rPr>
                <w:rFonts w:hint="eastAsia" w:ascii="宋体" w:hAnsi="宋体" w:eastAsia="宋体" w:cs="宋体"/>
                <w:snapToGrid w:val="0"/>
                <w:color w:val="auto"/>
                <w:sz w:val="18"/>
                <w:szCs w:val="18"/>
                <w:highlight w:val="none"/>
              </w:rPr>
            </w:pPr>
            <w:r>
              <w:rPr>
                <w:rFonts w:hint="eastAsia" w:ascii="宋体" w:hAnsi="宋体" w:eastAsia="宋体" w:cs="宋体"/>
                <w:color w:val="auto"/>
                <w:sz w:val="18"/>
                <w:szCs w:val="18"/>
                <w:highlight w:val="none"/>
                <w:lang w:bidi="ar"/>
              </w:rPr>
              <w:t>保安</w:t>
            </w:r>
          </w:p>
        </w:tc>
        <w:tc>
          <w:tcPr>
            <w:tcW w:w="928" w:type="dxa"/>
            <w:noWrap w:val="0"/>
            <w:vAlign w:val="center"/>
          </w:tcPr>
          <w:p w14:paraId="5EE7501D">
            <w:pPr>
              <w:shd w:val="clear" w:color="auto" w:fill="auto"/>
              <w:tabs>
                <w:tab w:val="left" w:pos="1620"/>
              </w:tabs>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400" w:type="dxa"/>
            <w:gridSpan w:val="2"/>
            <w:noWrap w:val="0"/>
            <w:vAlign w:val="center"/>
          </w:tcPr>
          <w:p w14:paraId="482DDE94">
            <w:pPr>
              <w:shd w:val="clear" w:color="auto" w:fill="auto"/>
              <w:tabs>
                <w:tab w:val="left" w:pos="1620"/>
              </w:tabs>
              <w:jc w:val="center"/>
              <w:rPr>
                <w:rFonts w:hint="eastAsia" w:ascii="宋体" w:hAnsi="宋体" w:eastAsia="宋体" w:cs="宋体"/>
                <w:color w:val="auto"/>
                <w:sz w:val="18"/>
                <w:szCs w:val="18"/>
                <w:highlight w:val="none"/>
              </w:rPr>
            </w:pPr>
          </w:p>
        </w:tc>
        <w:tc>
          <w:tcPr>
            <w:tcW w:w="1387" w:type="dxa"/>
            <w:noWrap w:val="0"/>
            <w:vAlign w:val="center"/>
          </w:tcPr>
          <w:p w14:paraId="5A4091C6">
            <w:pPr>
              <w:shd w:val="clear" w:color="auto" w:fill="auto"/>
              <w:tabs>
                <w:tab w:val="left" w:pos="1620"/>
              </w:tabs>
              <w:jc w:val="center"/>
              <w:rPr>
                <w:rFonts w:hint="eastAsia" w:ascii="宋体" w:hAnsi="宋体" w:eastAsia="宋体" w:cs="宋体"/>
                <w:color w:val="auto"/>
                <w:sz w:val="18"/>
                <w:szCs w:val="18"/>
                <w:highlight w:val="none"/>
              </w:rPr>
            </w:pPr>
          </w:p>
        </w:tc>
        <w:tc>
          <w:tcPr>
            <w:tcW w:w="2907" w:type="dxa"/>
            <w:vMerge w:val="continue"/>
            <w:noWrap w:val="0"/>
            <w:vAlign w:val="center"/>
          </w:tcPr>
          <w:p w14:paraId="08EE2F9C">
            <w:pPr>
              <w:shd w:val="clear" w:color="auto" w:fill="auto"/>
              <w:tabs>
                <w:tab w:val="left" w:pos="1620"/>
              </w:tabs>
              <w:jc w:val="both"/>
              <w:rPr>
                <w:rFonts w:hint="eastAsia" w:ascii="宋体" w:hAnsi="宋体" w:eastAsia="宋体" w:cs="宋体"/>
                <w:color w:val="auto"/>
                <w:kern w:val="2"/>
                <w:sz w:val="18"/>
                <w:szCs w:val="18"/>
                <w:highlight w:val="none"/>
                <w:lang w:val="en-US" w:eastAsia="zh-CN" w:bidi="ar-SA"/>
              </w:rPr>
            </w:pPr>
          </w:p>
        </w:tc>
      </w:tr>
      <w:tr w14:paraId="2DD1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vMerge w:val="continue"/>
            <w:noWrap w:val="0"/>
            <w:vAlign w:val="center"/>
          </w:tcPr>
          <w:p w14:paraId="47997511">
            <w:pPr>
              <w:shd w:val="clear" w:color="auto" w:fill="auto"/>
              <w:tabs>
                <w:tab w:val="left" w:pos="1620"/>
              </w:tabs>
              <w:jc w:val="center"/>
              <w:rPr>
                <w:rFonts w:hint="eastAsia" w:ascii="宋体" w:hAnsi="宋体" w:eastAsia="宋体" w:cs="宋体"/>
                <w:color w:val="auto"/>
                <w:sz w:val="18"/>
                <w:szCs w:val="18"/>
                <w:highlight w:val="none"/>
              </w:rPr>
            </w:pPr>
          </w:p>
        </w:tc>
        <w:tc>
          <w:tcPr>
            <w:tcW w:w="534" w:type="dxa"/>
            <w:vMerge w:val="continue"/>
            <w:noWrap w:val="0"/>
            <w:vAlign w:val="center"/>
          </w:tcPr>
          <w:p w14:paraId="1490A8E4">
            <w:pPr>
              <w:shd w:val="clear" w:color="auto" w:fill="auto"/>
              <w:tabs>
                <w:tab w:val="left" w:pos="1050"/>
                <w:tab w:val="left" w:pos="1260"/>
                <w:tab w:val="left" w:pos="1620"/>
              </w:tabs>
              <w:ind w:right="-107" w:rightChars="-51"/>
              <w:jc w:val="center"/>
              <w:rPr>
                <w:rFonts w:hint="eastAsia" w:ascii="宋体" w:hAnsi="宋体" w:eastAsia="宋体" w:cs="宋体"/>
                <w:color w:val="auto"/>
                <w:sz w:val="18"/>
                <w:szCs w:val="18"/>
                <w:highlight w:val="none"/>
              </w:rPr>
            </w:pPr>
          </w:p>
        </w:tc>
        <w:tc>
          <w:tcPr>
            <w:tcW w:w="515" w:type="dxa"/>
            <w:vMerge w:val="continue"/>
            <w:noWrap w:val="0"/>
            <w:vAlign w:val="center"/>
          </w:tcPr>
          <w:p w14:paraId="33A7D3BC">
            <w:pPr>
              <w:shd w:val="clear" w:color="auto" w:fill="auto"/>
              <w:tabs>
                <w:tab w:val="left" w:pos="1050"/>
                <w:tab w:val="left" w:pos="1260"/>
                <w:tab w:val="left" w:pos="1620"/>
              </w:tabs>
              <w:ind w:left="-107" w:leftChars="-51" w:right="-107" w:rightChars="-51"/>
              <w:jc w:val="center"/>
              <w:rPr>
                <w:rFonts w:hint="eastAsia" w:ascii="宋体" w:hAnsi="宋体" w:eastAsia="宋体" w:cs="宋体"/>
                <w:color w:val="auto"/>
                <w:sz w:val="18"/>
                <w:szCs w:val="18"/>
                <w:highlight w:val="none"/>
              </w:rPr>
            </w:pPr>
          </w:p>
        </w:tc>
        <w:tc>
          <w:tcPr>
            <w:tcW w:w="1094" w:type="dxa"/>
            <w:shd w:val="clear" w:color="auto" w:fill="auto"/>
            <w:noWrap w:val="0"/>
            <w:vAlign w:val="center"/>
          </w:tcPr>
          <w:p w14:paraId="68628A01">
            <w:pPr>
              <w:shd w:val="clear" w:color="auto" w:fill="auto"/>
              <w:tabs>
                <w:tab w:val="left" w:pos="1620"/>
              </w:tabs>
              <w:ind w:left="-107" w:leftChars="-51" w:right="-107" w:rightChars="-51"/>
              <w:jc w:val="center"/>
              <w:rPr>
                <w:rFonts w:hint="eastAsia" w:ascii="宋体" w:hAnsi="宋体" w:eastAsia="宋体" w:cs="宋体"/>
                <w:snapToGrid w:val="0"/>
                <w:color w:val="auto"/>
                <w:kern w:val="2"/>
                <w:sz w:val="18"/>
                <w:szCs w:val="18"/>
                <w:highlight w:val="none"/>
                <w:lang w:val="en-US" w:eastAsia="zh-CN" w:bidi="ar-SA"/>
              </w:rPr>
            </w:pPr>
            <w:r>
              <w:rPr>
                <w:rFonts w:hint="eastAsia" w:ascii="宋体" w:hAnsi="宋体" w:eastAsia="宋体" w:cs="宋体"/>
                <w:color w:val="auto"/>
                <w:sz w:val="18"/>
                <w:szCs w:val="18"/>
                <w:highlight w:val="none"/>
                <w:lang w:bidi="ar"/>
              </w:rPr>
              <w:t>保洁</w:t>
            </w:r>
          </w:p>
        </w:tc>
        <w:tc>
          <w:tcPr>
            <w:tcW w:w="928" w:type="dxa"/>
            <w:shd w:val="clear" w:color="auto" w:fill="auto"/>
            <w:noWrap w:val="0"/>
            <w:vAlign w:val="center"/>
          </w:tcPr>
          <w:p w14:paraId="4F712264">
            <w:pPr>
              <w:shd w:val="clear" w:color="auto" w:fill="auto"/>
              <w:tabs>
                <w:tab w:val="left" w:pos="1620"/>
              </w:tabs>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8</w:t>
            </w:r>
          </w:p>
        </w:tc>
        <w:tc>
          <w:tcPr>
            <w:tcW w:w="1400" w:type="dxa"/>
            <w:gridSpan w:val="2"/>
            <w:noWrap w:val="0"/>
            <w:vAlign w:val="center"/>
          </w:tcPr>
          <w:p w14:paraId="4138B5A0">
            <w:pPr>
              <w:shd w:val="clear" w:color="auto" w:fill="auto"/>
              <w:tabs>
                <w:tab w:val="left" w:pos="1620"/>
              </w:tabs>
              <w:jc w:val="center"/>
              <w:rPr>
                <w:rFonts w:hint="eastAsia" w:ascii="宋体" w:hAnsi="宋体" w:eastAsia="宋体" w:cs="宋体"/>
                <w:color w:val="auto"/>
                <w:sz w:val="18"/>
                <w:szCs w:val="18"/>
                <w:highlight w:val="none"/>
              </w:rPr>
            </w:pPr>
          </w:p>
        </w:tc>
        <w:tc>
          <w:tcPr>
            <w:tcW w:w="1387" w:type="dxa"/>
            <w:noWrap w:val="0"/>
            <w:vAlign w:val="center"/>
          </w:tcPr>
          <w:p w14:paraId="6D63011F">
            <w:pPr>
              <w:shd w:val="clear" w:color="auto" w:fill="auto"/>
              <w:tabs>
                <w:tab w:val="left" w:pos="1620"/>
              </w:tabs>
              <w:jc w:val="center"/>
              <w:rPr>
                <w:rFonts w:hint="eastAsia" w:ascii="宋体" w:hAnsi="宋体" w:eastAsia="宋体" w:cs="宋体"/>
                <w:color w:val="auto"/>
                <w:sz w:val="18"/>
                <w:szCs w:val="18"/>
                <w:highlight w:val="none"/>
              </w:rPr>
            </w:pPr>
          </w:p>
        </w:tc>
        <w:tc>
          <w:tcPr>
            <w:tcW w:w="2907" w:type="dxa"/>
            <w:vMerge w:val="continue"/>
            <w:noWrap w:val="0"/>
            <w:vAlign w:val="center"/>
          </w:tcPr>
          <w:p w14:paraId="404EC6B6">
            <w:pPr>
              <w:shd w:val="clear" w:color="auto" w:fill="auto"/>
              <w:tabs>
                <w:tab w:val="left" w:pos="1620"/>
              </w:tabs>
              <w:jc w:val="both"/>
              <w:rPr>
                <w:rFonts w:hint="eastAsia" w:ascii="宋体" w:hAnsi="宋体" w:eastAsia="宋体" w:cs="宋体"/>
                <w:color w:val="auto"/>
                <w:kern w:val="2"/>
                <w:sz w:val="18"/>
                <w:szCs w:val="18"/>
                <w:highlight w:val="none"/>
                <w:lang w:val="en-US" w:eastAsia="zh-CN" w:bidi="ar-SA"/>
              </w:rPr>
            </w:pPr>
          </w:p>
        </w:tc>
      </w:tr>
      <w:tr w14:paraId="07EA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noWrap w:val="0"/>
            <w:vAlign w:val="center"/>
          </w:tcPr>
          <w:p w14:paraId="081B4CF8">
            <w:pPr>
              <w:shd w:val="clear" w:color="auto" w:fill="auto"/>
              <w:tabs>
                <w:tab w:val="left" w:pos="1620"/>
              </w:tabs>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143" w:type="dxa"/>
            <w:gridSpan w:val="3"/>
            <w:noWrap w:val="0"/>
            <w:vAlign w:val="center"/>
          </w:tcPr>
          <w:p w14:paraId="6EE969A1">
            <w:pPr>
              <w:shd w:val="clear" w:color="auto" w:fill="auto"/>
              <w:tabs>
                <w:tab w:val="left" w:pos="1620"/>
              </w:tabs>
              <w:jc w:val="center"/>
              <w:rPr>
                <w:rFonts w:hint="eastAsia" w:ascii="宋体" w:hAnsi="宋体" w:eastAsia="宋体" w:cs="宋体"/>
                <w:b/>
                <w:bCs/>
                <w:color w:val="auto"/>
                <w:sz w:val="18"/>
                <w:szCs w:val="18"/>
                <w:highlight w:val="none"/>
                <w:u w:val="single"/>
              </w:rPr>
            </w:pPr>
            <w:r>
              <w:rPr>
                <w:rFonts w:hint="eastAsia" w:ascii="宋体" w:hAnsi="宋体" w:eastAsia="宋体" w:cs="宋体"/>
                <w:b/>
                <w:bCs/>
                <w:color w:val="auto"/>
                <w:sz w:val="18"/>
                <w:szCs w:val="18"/>
                <w:highlight w:val="none"/>
                <w:u w:val="single"/>
              </w:rPr>
              <w:t>▲临时增加人员费用</w:t>
            </w:r>
          </w:p>
        </w:tc>
        <w:tc>
          <w:tcPr>
            <w:tcW w:w="934" w:type="dxa"/>
            <w:gridSpan w:val="2"/>
            <w:noWrap w:val="0"/>
            <w:vAlign w:val="center"/>
          </w:tcPr>
          <w:p w14:paraId="0F40B6E3">
            <w:pPr>
              <w:shd w:val="clear" w:color="auto" w:fill="auto"/>
              <w:tabs>
                <w:tab w:val="left" w:pos="1620"/>
              </w:tabs>
              <w:jc w:val="center"/>
              <w:rPr>
                <w:rFonts w:hint="eastAsia" w:ascii="宋体" w:hAnsi="宋体" w:eastAsia="宋体" w:cs="宋体"/>
                <w:b/>
                <w:bCs/>
                <w:color w:val="auto"/>
                <w:sz w:val="18"/>
                <w:szCs w:val="18"/>
                <w:highlight w:val="none"/>
                <w:u w:val="single"/>
              </w:rPr>
            </w:pPr>
            <w:r>
              <w:rPr>
                <w:rFonts w:hint="eastAsia" w:ascii="宋体" w:hAnsi="宋体" w:eastAsia="宋体" w:cs="宋体"/>
                <w:b/>
                <w:bCs/>
                <w:color w:val="auto"/>
                <w:sz w:val="18"/>
                <w:szCs w:val="18"/>
                <w:highlight w:val="none"/>
                <w:u w:val="single"/>
                <w:lang w:val="en-US" w:eastAsia="zh-CN"/>
              </w:rPr>
              <w:t>1项</w:t>
            </w:r>
          </w:p>
        </w:tc>
        <w:tc>
          <w:tcPr>
            <w:tcW w:w="2781" w:type="dxa"/>
            <w:gridSpan w:val="2"/>
            <w:shd w:val="clear" w:color="auto" w:fill="auto"/>
            <w:noWrap w:val="0"/>
            <w:vAlign w:val="center"/>
          </w:tcPr>
          <w:p w14:paraId="62F3818F">
            <w:pPr>
              <w:shd w:val="clear" w:color="auto" w:fill="auto"/>
              <w:tabs>
                <w:tab w:val="left" w:pos="1620"/>
              </w:tabs>
              <w:jc w:val="center"/>
              <w:rPr>
                <w:rFonts w:hint="default" w:ascii="宋体" w:hAnsi="宋体" w:eastAsia="宋体" w:cs="宋体"/>
                <w:b/>
                <w:bCs/>
                <w:color w:val="auto"/>
                <w:kern w:val="2"/>
                <w:sz w:val="18"/>
                <w:szCs w:val="18"/>
                <w:highlight w:val="none"/>
                <w:u w:val="single"/>
                <w:lang w:val="en-US" w:eastAsia="zh-CN" w:bidi="ar-SA"/>
              </w:rPr>
            </w:pPr>
            <w:r>
              <w:rPr>
                <w:rFonts w:hint="eastAsia" w:ascii="宋体" w:hAnsi="宋体" w:eastAsia="宋体" w:cs="宋体"/>
                <w:b/>
                <w:bCs/>
                <w:color w:val="auto"/>
                <w:sz w:val="18"/>
                <w:szCs w:val="18"/>
                <w:highlight w:val="none"/>
                <w:u w:val="single"/>
                <w:lang w:val="en-US" w:eastAsia="zh-CN"/>
              </w:rPr>
              <w:t>2</w:t>
            </w:r>
            <w:r>
              <w:rPr>
                <w:rFonts w:hint="eastAsia" w:ascii="宋体" w:hAnsi="宋体" w:eastAsia="宋体" w:cs="宋体"/>
                <w:b/>
                <w:bCs/>
                <w:color w:val="auto"/>
                <w:sz w:val="18"/>
                <w:szCs w:val="18"/>
                <w:highlight w:val="none"/>
                <w:u w:val="single"/>
              </w:rPr>
              <w:t>0000元</w:t>
            </w:r>
            <w:r>
              <w:rPr>
                <w:rFonts w:hint="eastAsia" w:ascii="宋体" w:hAnsi="宋体" w:eastAsia="宋体" w:cs="宋体"/>
                <w:b/>
                <w:bCs/>
                <w:color w:val="auto"/>
                <w:sz w:val="18"/>
                <w:szCs w:val="18"/>
                <w:highlight w:val="none"/>
                <w:u w:val="single"/>
                <w:lang w:val="en-US" w:eastAsia="zh-CN"/>
              </w:rPr>
              <w:t>/年</w:t>
            </w:r>
          </w:p>
        </w:tc>
        <w:tc>
          <w:tcPr>
            <w:tcW w:w="2907" w:type="dxa"/>
            <w:noWrap w:val="0"/>
            <w:vAlign w:val="center"/>
          </w:tcPr>
          <w:p w14:paraId="4096B0F7">
            <w:pPr>
              <w:shd w:val="clear" w:color="auto" w:fill="auto"/>
              <w:tabs>
                <w:tab w:val="left" w:pos="1620"/>
              </w:tabs>
              <w:jc w:val="center"/>
              <w:rPr>
                <w:rFonts w:hint="eastAsia" w:ascii="宋体" w:hAnsi="宋体" w:eastAsia="宋体" w:cs="宋体"/>
                <w:color w:val="auto"/>
                <w:sz w:val="18"/>
                <w:szCs w:val="18"/>
                <w:highlight w:val="none"/>
                <w:u w:val="single"/>
              </w:rPr>
            </w:pPr>
            <w:r>
              <w:rPr>
                <w:rFonts w:hint="eastAsia" w:ascii="宋体" w:hAnsi="宋体" w:eastAsia="宋体" w:cs="宋体"/>
                <w:b/>
                <w:bCs/>
                <w:color w:val="auto"/>
                <w:sz w:val="18"/>
                <w:szCs w:val="18"/>
                <w:highlight w:val="none"/>
                <w:u w:val="single"/>
              </w:rPr>
              <w:t>▲</w:t>
            </w:r>
            <w:r>
              <w:rPr>
                <w:rFonts w:hint="eastAsia" w:ascii="宋体" w:hAnsi="宋体" w:eastAsia="宋体" w:cs="宋体"/>
                <w:color w:val="auto"/>
                <w:sz w:val="18"/>
                <w:szCs w:val="18"/>
                <w:highlight w:val="none"/>
                <w:u w:val="single"/>
              </w:rPr>
              <w:t>不可竞争费用</w:t>
            </w:r>
          </w:p>
        </w:tc>
      </w:tr>
      <w:tr w14:paraId="164E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noWrap w:val="0"/>
            <w:vAlign w:val="center"/>
          </w:tcPr>
          <w:p w14:paraId="021F6E9D">
            <w:pPr>
              <w:shd w:val="clear" w:color="auto" w:fill="auto"/>
              <w:tabs>
                <w:tab w:val="left" w:pos="1620"/>
              </w:tabs>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143" w:type="dxa"/>
            <w:gridSpan w:val="3"/>
            <w:noWrap w:val="0"/>
            <w:vAlign w:val="center"/>
          </w:tcPr>
          <w:p w14:paraId="118C68BB">
            <w:pPr>
              <w:shd w:val="clear" w:color="auto" w:fill="auto"/>
              <w:tabs>
                <w:tab w:val="left" w:pos="1620"/>
              </w:tabs>
              <w:jc w:val="center"/>
              <w:rPr>
                <w:rFonts w:hint="eastAsia" w:ascii="宋体" w:hAnsi="宋体" w:eastAsia="宋体" w:cs="宋体"/>
                <w:b/>
                <w:bCs/>
                <w:color w:val="auto"/>
                <w:sz w:val="18"/>
                <w:szCs w:val="18"/>
                <w:highlight w:val="none"/>
                <w:u w:val="single"/>
              </w:rPr>
            </w:pPr>
            <w:r>
              <w:rPr>
                <w:rFonts w:hint="eastAsia" w:ascii="宋体" w:hAnsi="宋体" w:eastAsia="宋体" w:cs="宋体"/>
                <w:b/>
                <w:bCs/>
                <w:color w:val="auto"/>
                <w:sz w:val="18"/>
                <w:szCs w:val="18"/>
                <w:highlight w:val="none"/>
                <w:u w:val="single"/>
              </w:rPr>
              <w:t>▲员工激励金及慰问金</w:t>
            </w:r>
          </w:p>
        </w:tc>
        <w:tc>
          <w:tcPr>
            <w:tcW w:w="934" w:type="dxa"/>
            <w:gridSpan w:val="2"/>
            <w:noWrap w:val="0"/>
            <w:vAlign w:val="center"/>
          </w:tcPr>
          <w:p w14:paraId="782CE24A">
            <w:pPr>
              <w:shd w:val="clear" w:color="auto" w:fill="auto"/>
              <w:tabs>
                <w:tab w:val="left" w:pos="1620"/>
              </w:tabs>
              <w:jc w:val="center"/>
              <w:rPr>
                <w:rFonts w:hint="eastAsia" w:ascii="宋体" w:hAnsi="宋体" w:eastAsia="宋体" w:cs="宋体"/>
                <w:b/>
                <w:bCs/>
                <w:color w:val="auto"/>
                <w:sz w:val="18"/>
                <w:szCs w:val="18"/>
                <w:highlight w:val="none"/>
                <w:u w:val="single"/>
              </w:rPr>
            </w:pPr>
            <w:r>
              <w:rPr>
                <w:rFonts w:hint="eastAsia" w:ascii="宋体" w:hAnsi="宋体" w:eastAsia="宋体" w:cs="宋体"/>
                <w:b/>
                <w:bCs/>
                <w:color w:val="auto"/>
                <w:sz w:val="18"/>
                <w:szCs w:val="18"/>
                <w:highlight w:val="none"/>
                <w:u w:val="single"/>
                <w:lang w:val="en-US" w:eastAsia="zh-CN"/>
              </w:rPr>
              <w:t>1项</w:t>
            </w:r>
          </w:p>
        </w:tc>
        <w:tc>
          <w:tcPr>
            <w:tcW w:w="2781" w:type="dxa"/>
            <w:gridSpan w:val="2"/>
            <w:shd w:val="clear" w:color="auto" w:fill="auto"/>
            <w:noWrap w:val="0"/>
            <w:vAlign w:val="center"/>
          </w:tcPr>
          <w:p w14:paraId="29CDE2DA">
            <w:pPr>
              <w:shd w:val="clear" w:color="auto" w:fill="auto"/>
              <w:tabs>
                <w:tab w:val="left" w:pos="1620"/>
              </w:tabs>
              <w:jc w:val="center"/>
              <w:rPr>
                <w:rFonts w:hint="default" w:ascii="宋体" w:hAnsi="宋体" w:eastAsia="宋体" w:cs="宋体"/>
                <w:b/>
                <w:bCs/>
                <w:color w:val="auto"/>
                <w:kern w:val="2"/>
                <w:sz w:val="18"/>
                <w:szCs w:val="18"/>
                <w:highlight w:val="none"/>
                <w:u w:val="single"/>
                <w:lang w:val="en-US" w:eastAsia="zh-CN" w:bidi="ar-SA"/>
              </w:rPr>
            </w:pPr>
            <w:r>
              <w:rPr>
                <w:rFonts w:hint="eastAsia" w:ascii="宋体" w:hAnsi="宋体" w:eastAsia="宋体" w:cs="宋体"/>
                <w:b/>
                <w:bCs/>
                <w:color w:val="auto"/>
                <w:sz w:val="18"/>
                <w:szCs w:val="18"/>
                <w:highlight w:val="none"/>
                <w:u w:val="single"/>
                <w:lang w:val="en-US" w:eastAsia="zh-CN"/>
              </w:rPr>
              <w:t>15</w:t>
            </w:r>
            <w:r>
              <w:rPr>
                <w:rFonts w:hint="eastAsia" w:ascii="宋体" w:hAnsi="宋体" w:eastAsia="宋体" w:cs="宋体"/>
                <w:b/>
                <w:bCs/>
                <w:color w:val="auto"/>
                <w:sz w:val="18"/>
                <w:szCs w:val="18"/>
                <w:highlight w:val="none"/>
                <w:u w:val="single"/>
              </w:rPr>
              <w:t>000元</w:t>
            </w:r>
            <w:r>
              <w:rPr>
                <w:rFonts w:hint="eastAsia" w:ascii="宋体" w:hAnsi="宋体" w:eastAsia="宋体" w:cs="宋体"/>
                <w:b/>
                <w:bCs/>
                <w:color w:val="auto"/>
                <w:sz w:val="18"/>
                <w:szCs w:val="18"/>
                <w:highlight w:val="none"/>
                <w:u w:val="single"/>
                <w:lang w:val="en-US" w:eastAsia="zh-CN"/>
              </w:rPr>
              <w:t>/年</w:t>
            </w:r>
          </w:p>
        </w:tc>
        <w:tc>
          <w:tcPr>
            <w:tcW w:w="2907" w:type="dxa"/>
            <w:noWrap w:val="0"/>
            <w:vAlign w:val="center"/>
          </w:tcPr>
          <w:p w14:paraId="212F2C27">
            <w:pPr>
              <w:shd w:val="clear" w:color="auto" w:fill="auto"/>
              <w:tabs>
                <w:tab w:val="left" w:pos="1620"/>
              </w:tabs>
              <w:jc w:val="center"/>
              <w:rPr>
                <w:rFonts w:hint="eastAsia" w:ascii="宋体" w:hAnsi="宋体" w:eastAsia="宋体" w:cs="宋体"/>
                <w:color w:val="auto"/>
                <w:sz w:val="18"/>
                <w:szCs w:val="18"/>
                <w:highlight w:val="none"/>
                <w:u w:val="single"/>
              </w:rPr>
            </w:pPr>
            <w:r>
              <w:rPr>
                <w:rFonts w:hint="eastAsia" w:ascii="宋体" w:hAnsi="宋体" w:eastAsia="宋体" w:cs="宋体"/>
                <w:b/>
                <w:bCs/>
                <w:color w:val="auto"/>
                <w:sz w:val="18"/>
                <w:szCs w:val="18"/>
                <w:highlight w:val="none"/>
                <w:u w:val="single"/>
              </w:rPr>
              <w:t>▲</w:t>
            </w:r>
            <w:r>
              <w:rPr>
                <w:rFonts w:hint="eastAsia" w:ascii="宋体" w:hAnsi="宋体" w:eastAsia="宋体" w:cs="宋体"/>
                <w:color w:val="auto"/>
                <w:sz w:val="18"/>
                <w:szCs w:val="18"/>
                <w:highlight w:val="none"/>
                <w:u w:val="single"/>
              </w:rPr>
              <w:t>不可竞争费用</w:t>
            </w:r>
          </w:p>
        </w:tc>
      </w:tr>
      <w:tr w14:paraId="7D1C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noWrap w:val="0"/>
            <w:vAlign w:val="center"/>
          </w:tcPr>
          <w:p w14:paraId="1890E290">
            <w:pPr>
              <w:shd w:val="clear" w:color="auto" w:fill="auto"/>
              <w:tabs>
                <w:tab w:val="left" w:pos="1620"/>
              </w:tabs>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143" w:type="dxa"/>
            <w:gridSpan w:val="3"/>
            <w:noWrap w:val="0"/>
            <w:vAlign w:val="center"/>
          </w:tcPr>
          <w:p w14:paraId="5F2ADB23">
            <w:pPr>
              <w:shd w:val="clear" w:color="auto" w:fill="auto"/>
              <w:tabs>
                <w:tab w:val="left" w:pos="1620"/>
              </w:tabs>
              <w:jc w:val="center"/>
              <w:rPr>
                <w:rFonts w:hint="eastAsia" w:ascii="宋体" w:hAnsi="宋体" w:eastAsia="宋体" w:cs="宋体"/>
                <w:b/>
                <w:bCs/>
                <w:color w:val="auto"/>
                <w:sz w:val="18"/>
                <w:szCs w:val="18"/>
                <w:highlight w:val="none"/>
                <w:u w:val="single"/>
                <w:lang w:val="en-US" w:eastAsia="zh-CN"/>
              </w:rPr>
            </w:pPr>
            <w:r>
              <w:rPr>
                <w:rFonts w:hint="eastAsia" w:ascii="宋体" w:hAnsi="宋体" w:eastAsia="宋体" w:cs="宋体"/>
                <w:b/>
                <w:bCs/>
                <w:color w:val="auto"/>
                <w:sz w:val="18"/>
                <w:szCs w:val="18"/>
                <w:highlight w:val="none"/>
                <w:u w:val="single"/>
              </w:rPr>
              <w:t>▲单价金额在50元以下维修及易耗品费用</w:t>
            </w:r>
          </w:p>
        </w:tc>
        <w:tc>
          <w:tcPr>
            <w:tcW w:w="934" w:type="dxa"/>
            <w:gridSpan w:val="2"/>
            <w:noWrap w:val="0"/>
            <w:vAlign w:val="center"/>
          </w:tcPr>
          <w:p w14:paraId="78E12AD5">
            <w:pPr>
              <w:shd w:val="clear" w:color="auto" w:fill="auto"/>
              <w:tabs>
                <w:tab w:val="left" w:pos="1620"/>
              </w:tabs>
              <w:jc w:val="center"/>
              <w:rPr>
                <w:rFonts w:hint="eastAsia" w:ascii="宋体" w:hAnsi="宋体" w:eastAsia="宋体" w:cs="宋体"/>
                <w:b/>
                <w:bCs/>
                <w:color w:val="auto"/>
                <w:sz w:val="18"/>
                <w:szCs w:val="18"/>
                <w:highlight w:val="none"/>
                <w:u w:val="single"/>
                <w:lang w:val="en-US" w:eastAsia="zh-CN"/>
              </w:rPr>
            </w:pPr>
            <w:r>
              <w:rPr>
                <w:rFonts w:hint="eastAsia" w:ascii="宋体" w:hAnsi="宋体" w:eastAsia="宋体" w:cs="宋体"/>
                <w:b/>
                <w:bCs/>
                <w:color w:val="auto"/>
                <w:sz w:val="18"/>
                <w:szCs w:val="18"/>
                <w:highlight w:val="none"/>
                <w:u w:val="single"/>
                <w:lang w:val="en-US" w:eastAsia="zh-CN"/>
              </w:rPr>
              <w:t>1项</w:t>
            </w:r>
          </w:p>
        </w:tc>
        <w:tc>
          <w:tcPr>
            <w:tcW w:w="2781" w:type="dxa"/>
            <w:gridSpan w:val="2"/>
            <w:shd w:val="clear" w:color="auto" w:fill="auto"/>
            <w:noWrap w:val="0"/>
            <w:vAlign w:val="center"/>
          </w:tcPr>
          <w:p w14:paraId="60FA0484">
            <w:pPr>
              <w:shd w:val="clear" w:color="auto" w:fill="auto"/>
              <w:tabs>
                <w:tab w:val="left" w:pos="1620"/>
              </w:tabs>
              <w:jc w:val="center"/>
              <w:rPr>
                <w:rFonts w:hint="default" w:ascii="宋体" w:hAnsi="宋体" w:eastAsia="宋体" w:cs="宋体"/>
                <w:b/>
                <w:bCs/>
                <w:color w:val="auto"/>
                <w:kern w:val="2"/>
                <w:sz w:val="18"/>
                <w:szCs w:val="18"/>
                <w:highlight w:val="none"/>
                <w:u w:val="single"/>
                <w:lang w:val="en-US" w:eastAsia="zh-CN" w:bidi="ar-SA"/>
              </w:rPr>
            </w:pPr>
            <w:r>
              <w:rPr>
                <w:rFonts w:hint="eastAsia" w:ascii="宋体" w:hAnsi="宋体" w:eastAsia="宋体" w:cs="宋体"/>
                <w:b/>
                <w:bCs/>
                <w:color w:val="auto"/>
                <w:sz w:val="18"/>
                <w:szCs w:val="18"/>
                <w:highlight w:val="none"/>
                <w:u w:val="single"/>
                <w:lang w:val="en-US" w:eastAsia="zh-CN"/>
              </w:rPr>
              <w:t>25000</w:t>
            </w:r>
            <w:r>
              <w:rPr>
                <w:rFonts w:hint="eastAsia" w:ascii="宋体" w:hAnsi="宋体" w:eastAsia="宋体" w:cs="宋体"/>
                <w:b/>
                <w:bCs/>
                <w:color w:val="auto"/>
                <w:sz w:val="18"/>
                <w:szCs w:val="18"/>
                <w:highlight w:val="none"/>
                <w:u w:val="single"/>
              </w:rPr>
              <w:t>元</w:t>
            </w:r>
            <w:r>
              <w:rPr>
                <w:rFonts w:hint="eastAsia" w:ascii="宋体" w:hAnsi="宋体" w:eastAsia="宋体" w:cs="宋体"/>
                <w:b/>
                <w:bCs/>
                <w:color w:val="auto"/>
                <w:sz w:val="18"/>
                <w:szCs w:val="18"/>
                <w:highlight w:val="none"/>
                <w:u w:val="single"/>
                <w:lang w:val="en-US" w:eastAsia="zh-CN"/>
              </w:rPr>
              <w:t>/年</w:t>
            </w:r>
          </w:p>
        </w:tc>
        <w:tc>
          <w:tcPr>
            <w:tcW w:w="2907" w:type="dxa"/>
            <w:noWrap w:val="0"/>
            <w:vAlign w:val="center"/>
          </w:tcPr>
          <w:p w14:paraId="5AE7B7D3">
            <w:pPr>
              <w:shd w:val="clear" w:color="auto" w:fill="auto"/>
              <w:tabs>
                <w:tab w:val="left" w:pos="1620"/>
              </w:tabs>
              <w:jc w:val="center"/>
              <w:rPr>
                <w:rFonts w:hint="eastAsia" w:ascii="宋体" w:hAnsi="宋体" w:eastAsia="宋体" w:cs="宋体"/>
                <w:color w:val="auto"/>
                <w:sz w:val="18"/>
                <w:szCs w:val="18"/>
                <w:highlight w:val="none"/>
                <w:u w:val="single"/>
                <w:lang w:val="en-US" w:eastAsia="zh-CN"/>
              </w:rPr>
            </w:pPr>
            <w:r>
              <w:rPr>
                <w:rFonts w:hint="eastAsia" w:ascii="宋体" w:hAnsi="宋体" w:eastAsia="宋体" w:cs="宋体"/>
                <w:b/>
                <w:bCs/>
                <w:color w:val="auto"/>
                <w:sz w:val="18"/>
                <w:szCs w:val="18"/>
                <w:highlight w:val="none"/>
                <w:u w:val="single"/>
              </w:rPr>
              <w:t>▲</w:t>
            </w:r>
            <w:r>
              <w:rPr>
                <w:rFonts w:hint="eastAsia" w:ascii="宋体" w:hAnsi="宋体" w:eastAsia="宋体" w:cs="宋体"/>
                <w:color w:val="auto"/>
                <w:sz w:val="18"/>
                <w:szCs w:val="18"/>
                <w:highlight w:val="none"/>
                <w:u w:val="single"/>
              </w:rPr>
              <w:t>不可竞争费用</w:t>
            </w:r>
          </w:p>
        </w:tc>
      </w:tr>
      <w:tr w14:paraId="19EE9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noWrap w:val="0"/>
            <w:vAlign w:val="center"/>
          </w:tcPr>
          <w:p w14:paraId="632D1356">
            <w:pPr>
              <w:shd w:val="clear" w:color="auto" w:fill="auto"/>
              <w:tabs>
                <w:tab w:val="left" w:pos="1620"/>
              </w:tabs>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w:t>
            </w:r>
          </w:p>
        </w:tc>
        <w:tc>
          <w:tcPr>
            <w:tcW w:w="2143" w:type="dxa"/>
            <w:gridSpan w:val="3"/>
            <w:noWrap w:val="0"/>
            <w:vAlign w:val="center"/>
          </w:tcPr>
          <w:p w14:paraId="1845F02D">
            <w:pPr>
              <w:shd w:val="clear" w:color="auto" w:fill="auto"/>
              <w:tabs>
                <w:tab w:val="left" w:pos="1620"/>
              </w:tabs>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其他</w:t>
            </w:r>
          </w:p>
        </w:tc>
        <w:tc>
          <w:tcPr>
            <w:tcW w:w="3715" w:type="dxa"/>
            <w:gridSpan w:val="4"/>
            <w:noWrap w:val="0"/>
            <w:vAlign w:val="center"/>
          </w:tcPr>
          <w:p w14:paraId="30B45914">
            <w:pPr>
              <w:shd w:val="clear" w:color="auto" w:fill="auto"/>
              <w:tabs>
                <w:tab w:val="left" w:pos="1620"/>
              </w:tabs>
              <w:jc w:val="center"/>
              <w:rPr>
                <w:rFonts w:hint="eastAsia" w:ascii="宋体" w:hAnsi="宋体" w:eastAsia="宋体" w:cs="宋体"/>
                <w:color w:val="auto"/>
                <w:sz w:val="18"/>
                <w:szCs w:val="18"/>
                <w:highlight w:val="none"/>
              </w:rPr>
            </w:pPr>
          </w:p>
        </w:tc>
        <w:tc>
          <w:tcPr>
            <w:tcW w:w="2907" w:type="dxa"/>
            <w:noWrap w:val="0"/>
            <w:vAlign w:val="center"/>
          </w:tcPr>
          <w:p w14:paraId="381A821A">
            <w:pPr>
              <w:shd w:val="clear" w:color="auto" w:fill="auto"/>
              <w:tabs>
                <w:tab w:val="left" w:pos="1620"/>
              </w:tabs>
              <w:jc w:val="both"/>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SA"/>
              </w:rPr>
              <w:t>含远程监控费用、员工宿舍费用、广场地面清洗费用、空调清洗费用、生活水箱清洗费用、车辆维修费用、化粪池清运费用、车辆保险费用、</w:t>
            </w:r>
            <w:r>
              <w:rPr>
                <w:rFonts w:hint="eastAsia" w:ascii="宋体" w:hAnsi="宋体" w:eastAsia="宋体" w:cs="宋体"/>
                <w:color w:val="auto"/>
                <w:kern w:val="2"/>
                <w:sz w:val="18"/>
                <w:szCs w:val="18"/>
                <w:highlight w:val="yellow"/>
                <w:lang w:val="en-US" w:eastAsia="zh-CN" w:bidi="ar-SA"/>
              </w:rPr>
              <w:t>其他保险、</w:t>
            </w:r>
            <w:r>
              <w:rPr>
                <w:rFonts w:hint="eastAsia" w:ascii="宋体" w:hAnsi="宋体" w:eastAsia="宋体" w:cs="宋体"/>
                <w:color w:val="auto"/>
                <w:kern w:val="2"/>
                <w:sz w:val="18"/>
                <w:szCs w:val="18"/>
                <w:highlight w:val="none"/>
                <w:lang w:val="en-US" w:eastAsia="zh-CN" w:bidi="ar-SA"/>
              </w:rPr>
              <w:t>生活垃圾清运费用等费用</w:t>
            </w:r>
          </w:p>
        </w:tc>
      </w:tr>
      <w:tr w14:paraId="51C0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noWrap w:val="0"/>
            <w:vAlign w:val="center"/>
          </w:tcPr>
          <w:p w14:paraId="364382E4">
            <w:pPr>
              <w:shd w:val="clear" w:color="auto" w:fill="auto"/>
              <w:tabs>
                <w:tab w:val="left" w:pos="1620"/>
              </w:tabs>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2143" w:type="dxa"/>
            <w:gridSpan w:val="3"/>
            <w:noWrap w:val="0"/>
            <w:vAlign w:val="center"/>
          </w:tcPr>
          <w:p w14:paraId="1C78E29A">
            <w:pPr>
              <w:shd w:val="clear" w:color="auto" w:fill="auto"/>
              <w:tabs>
                <w:tab w:val="left" w:pos="1620"/>
              </w:tabs>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税金</w:t>
            </w:r>
          </w:p>
        </w:tc>
        <w:tc>
          <w:tcPr>
            <w:tcW w:w="3715" w:type="dxa"/>
            <w:gridSpan w:val="4"/>
            <w:noWrap w:val="0"/>
            <w:vAlign w:val="center"/>
          </w:tcPr>
          <w:p w14:paraId="7ABDDB6D">
            <w:pPr>
              <w:shd w:val="clear" w:color="auto" w:fill="auto"/>
              <w:tabs>
                <w:tab w:val="left" w:pos="1620"/>
              </w:tabs>
              <w:jc w:val="center"/>
              <w:rPr>
                <w:rFonts w:hint="eastAsia" w:ascii="宋体" w:hAnsi="宋体" w:eastAsia="宋体" w:cs="宋体"/>
                <w:color w:val="auto"/>
                <w:sz w:val="18"/>
                <w:szCs w:val="18"/>
                <w:highlight w:val="none"/>
              </w:rPr>
            </w:pPr>
          </w:p>
        </w:tc>
        <w:tc>
          <w:tcPr>
            <w:tcW w:w="2907" w:type="dxa"/>
            <w:noWrap w:val="0"/>
            <w:vAlign w:val="center"/>
          </w:tcPr>
          <w:p w14:paraId="3B06D296">
            <w:pPr>
              <w:shd w:val="clear" w:color="auto" w:fill="auto"/>
              <w:tabs>
                <w:tab w:val="left" w:pos="1620"/>
              </w:tabs>
              <w:jc w:val="center"/>
              <w:rPr>
                <w:rFonts w:hint="eastAsia" w:ascii="宋体" w:hAnsi="宋体" w:eastAsia="宋体" w:cs="宋体"/>
                <w:color w:val="auto"/>
                <w:sz w:val="18"/>
                <w:szCs w:val="18"/>
                <w:highlight w:val="none"/>
              </w:rPr>
            </w:pPr>
          </w:p>
        </w:tc>
      </w:tr>
      <w:tr w14:paraId="7305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1" w:type="dxa"/>
            <w:noWrap w:val="0"/>
            <w:vAlign w:val="center"/>
          </w:tcPr>
          <w:p w14:paraId="5E33B4AA">
            <w:pPr>
              <w:shd w:val="clear" w:color="auto" w:fill="auto"/>
              <w:tabs>
                <w:tab w:val="left" w:pos="1620"/>
              </w:tabs>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2143" w:type="dxa"/>
            <w:gridSpan w:val="3"/>
            <w:noWrap w:val="0"/>
            <w:vAlign w:val="center"/>
          </w:tcPr>
          <w:p w14:paraId="1A768764">
            <w:pPr>
              <w:shd w:val="clear" w:color="auto" w:fill="auto"/>
              <w:tabs>
                <w:tab w:val="left" w:pos="1620"/>
              </w:tabs>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3715" w:type="dxa"/>
            <w:gridSpan w:val="4"/>
            <w:noWrap w:val="0"/>
            <w:vAlign w:val="center"/>
          </w:tcPr>
          <w:p w14:paraId="42E9CDD2">
            <w:pPr>
              <w:shd w:val="clear" w:color="auto" w:fill="auto"/>
              <w:tabs>
                <w:tab w:val="left" w:pos="1620"/>
              </w:tabs>
              <w:jc w:val="center"/>
              <w:rPr>
                <w:rFonts w:hint="eastAsia" w:ascii="宋体" w:hAnsi="宋体" w:eastAsia="宋体" w:cs="宋体"/>
                <w:color w:val="auto"/>
                <w:sz w:val="18"/>
                <w:szCs w:val="18"/>
                <w:highlight w:val="none"/>
              </w:rPr>
            </w:pPr>
          </w:p>
        </w:tc>
        <w:tc>
          <w:tcPr>
            <w:tcW w:w="2907" w:type="dxa"/>
            <w:noWrap w:val="0"/>
            <w:vAlign w:val="center"/>
          </w:tcPr>
          <w:p w14:paraId="1DEE16B1">
            <w:pPr>
              <w:shd w:val="clear" w:color="auto" w:fill="auto"/>
              <w:tabs>
                <w:tab w:val="left" w:pos="1620"/>
              </w:tabs>
              <w:jc w:val="center"/>
              <w:rPr>
                <w:rFonts w:hint="eastAsia" w:ascii="宋体" w:hAnsi="宋体" w:eastAsia="宋体" w:cs="宋体"/>
                <w:color w:val="auto"/>
                <w:sz w:val="18"/>
                <w:szCs w:val="18"/>
                <w:highlight w:val="none"/>
              </w:rPr>
            </w:pPr>
          </w:p>
        </w:tc>
      </w:tr>
      <w:tr w14:paraId="31B9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4" w:type="dxa"/>
            <w:gridSpan w:val="4"/>
            <w:noWrap w:val="0"/>
            <w:vAlign w:val="center"/>
          </w:tcPr>
          <w:p w14:paraId="2574C0AF">
            <w:pPr>
              <w:shd w:val="clear" w:color="auto" w:fill="auto"/>
              <w:tabs>
                <w:tab w:val="left" w:pos="1620"/>
              </w:tabs>
              <w:ind w:left="-107" w:leftChars="-51" w:right="-107" w:rightChars="-51"/>
              <w:jc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投标报价，总计价（1+2+3+4+5+6...）</w:t>
            </w:r>
          </w:p>
        </w:tc>
        <w:tc>
          <w:tcPr>
            <w:tcW w:w="6622" w:type="dxa"/>
            <w:gridSpan w:val="5"/>
            <w:noWrap w:val="0"/>
            <w:vAlign w:val="center"/>
          </w:tcPr>
          <w:p w14:paraId="1BE27443">
            <w:pPr>
              <w:shd w:val="clear" w:color="auto" w:fill="auto"/>
              <w:tabs>
                <w:tab w:val="left" w:pos="1620"/>
              </w:tabs>
              <w:jc w:val="center"/>
              <w:rPr>
                <w:rFonts w:hint="eastAsia" w:ascii="宋体" w:hAnsi="宋体" w:eastAsia="宋体" w:cs="宋体"/>
                <w:color w:val="auto"/>
                <w:sz w:val="18"/>
                <w:szCs w:val="18"/>
                <w:highlight w:val="none"/>
              </w:rPr>
            </w:pPr>
          </w:p>
        </w:tc>
      </w:tr>
    </w:tbl>
    <w:p w14:paraId="3C585E61">
      <w:pPr>
        <w:spacing w:line="240" w:lineRule="auto"/>
        <w:rPr>
          <w:rFonts w:hint="eastAsia" w:ascii="宋体" w:hAnsi="宋体" w:eastAsia="宋体" w:cs="宋体"/>
          <w:b/>
          <w:szCs w:val="21"/>
          <w:highlight w:val="none"/>
          <w:lang w:val="en-US" w:eastAsia="zh-CN"/>
        </w:rPr>
      </w:pPr>
      <w:r>
        <w:rPr>
          <w:rFonts w:hint="eastAsia" w:ascii="宋体" w:hAnsi="宋体" w:eastAsia="宋体" w:cs="宋体"/>
          <w:b/>
          <w:szCs w:val="21"/>
          <w:highlight w:val="none"/>
        </w:rPr>
        <w:t>说明：</w:t>
      </w:r>
    </w:p>
    <w:p w14:paraId="2EF45BC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szCs w:val="21"/>
        </w:rPr>
        <w:t>1</w:t>
      </w:r>
      <w:r>
        <w:rPr>
          <w:rFonts w:hint="eastAsia" w:ascii="宋体" w:hAnsi="宋体" w:eastAsia="宋体" w:cs="宋体"/>
          <w:b w:val="0"/>
          <w:bCs/>
          <w:szCs w:val="21"/>
          <w:lang w:eastAsia="zh-CN"/>
        </w:rPr>
        <w:t>、</w:t>
      </w:r>
      <w:r>
        <w:rPr>
          <w:rFonts w:hint="eastAsia" w:ascii="宋体" w:hAnsi="宋体" w:eastAsia="宋体" w:cs="宋体"/>
          <w:b w:val="0"/>
          <w:bCs/>
          <w:szCs w:val="21"/>
        </w:rPr>
        <w:t>本表总计价应与附件</w:t>
      </w:r>
      <w:r>
        <w:rPr>
          <w:rFonts w:hint="eastAsia" w:ascii="宋体" w:hAnsi="宋体" w:eastAsia="宋体" w:cs="宋体"/>
          <w:b w:val="0"/>
          <w:bCs/>
          <w:szCs w:val="21"/>
          <w:lang w:val="en-US" w:eastAsia="zh-CN"/>
        </w:rPr>
        <w:t>十</w:t>
      </w:r>
      <w:r>
        <w:rPr>
          <w:rFonts w:hint="eastAsia" w:ascii="宋体" w:hAnsi="宋体" w:eastAsia="宋体" w:cs="宋体"/>
          <w:b w:val="0"/>
          <w:bCs/>
          <w:szCs w:val="21"/>
        </w:rPr>
        <w:t>“开标价一览表”中投标总报价相一致。</w:t>
      </w:r>
      <w:r>
        <w:rPr>
          <w:rFonts w:hint="eastAsia" w:ascii="宋体" w:hAnsi="宋体" w:eastAsia="宋体" w:cs="宋体"/>
          <w:color w:val="auto"/>
          <w:sz w:val="21"/>
          <w:szCs w:val="21"/>
          <w:highlight w:val="none"/>
        </w:rPr>
        <w:t>本表内报价均</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含税</w:t>
      </w:r>
      <w:r>
        <w:rPr>
          <w:rFonts w:hint="eastAsia" w:ascii="宋体" w:hAnsi="宋体" w:eastAsia="宋体" w:cs="宋体"/>
          <w:color w:val="auto"/>
          <w:sz w:val="21"/>
          <w:szCs w:val="21"/>
          <w:highlight w:val="none"/>
          <w:lang w:val="en-US" w:eastAsia="zh-CN"/>
        </w:rPr>
        <w:t>价</w:t>
      </w:r>
      <w:r>
        <w:rPr>
          <w:rFonts w:hint="eastAsia" w:ascii="宋体" w:hAnsi="宋体" w:eastAsia="宋体" w:cs="宋体"/>
          <w:color w:val="auto"/>
          <w:sz w:val="21"/>
          <w:szCs w:val="21"/>
          <w:highlight w:val="none"/>
        </w:rPr>
        <w:t>。</w:t>
      </w:r>
    </w:p>
    <w:p w14:paraId="23EAE88D">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、本表内报价均已含税。</w:t>
      </w:r>
    </w:p>
    <w:p w14:paraId="0BCD6DA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以上核算需符合相关法律、法规及</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文件规定。</w:t>
      </w:r>
    </w:p>
    <w:p w14:paraId="1A29EC1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、本表可在不改变格式的情况下根据具体需要自行增减。</w:t>
      </w:r>
    </w:p>
    <w:p w14:paraId="1A956C9A">
      <w:pPr>
        <w:spacing w:line="240" w:lineRule="auto"/>
        <w:ind w:firstLine="420" w:firstLineChars="200"/>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bCs/>
          <w:color w:val="auto"/>
          <w:sz w:val="21"/>
          <w:szCs w:val="21"/>
          <w:highlight w:val="none"/>
          <w:u w:val="single"/>
        </w:rPr>
        <w:t>▲本表所列岗位日常最低实付工资不得低于2800元/月·人。员工服装费、企业管理费及其他未列费用均为综合考虑。</w:t>
      </w:r>
    </w:p>
    <w:p w14:paraId="055DC65F">
      <w:pPr>
        <w:spacing w:line="24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strike w:val="0"/>
          <w:dstrike w:val="0"/>
          <w:color w:val="auto"/>
          <w:sz w:val="21"/>
          <w:szCs w:val="21"/>
          <w:highlight w:val="none"/>
          <w:lang w:val="en-US" w:eastAsia="zh-CN"/>
        </w:rPr>
        <w:t>6</w:t>
      </w:r>
      <w:r>
        <w:rPr>
          <w:rFonts w:hint="eastAsia" w:ascii="宋体" w:hAnsi="宋体" w:eastAsia="宋体" w:cs="宋体"/>
          <w:b/>
          <w:strike w:val="0"/>
          <w:dstrike w:val="0"/>
          <w:color w:val="auto"/>
          <w:sz w:val="21"/>
          <w:szCs w:val="21"/>
          <w:highlight w:val="none"/>
        </w:rPr>
        <w:t>、</w:t>
      </w:r>
      <w:r>
        <w:rPr>
          <w:rFonts w:hint="eastAsia" w:ascii="宋体" w:hAnsi="宋体" w:eastAsia="宋体" w:cs="宋体"/>
          <w:b/>
          <w:strike w:val="0"/>
          <w:dstrike w:val="0"/>
          <w:color w:val="auto"/>
          <w:sz w:val="21"/>
          <w:szCs w:val="21"/>
          <w:highlight w:val="none"/>
          <w:u w:val="single"/>
        </w:rPr>
        <w:t>▲</w:t>
      </w:r>
      <w:r>
        <w:rPr>
          <w:rFonts w:hint="eastAsia" w:ascii="宋体" w:hAnsi="宋体" w:eastAsia="宋体" w:cs="宋体"/>
          <w:b/>
          <w:strike w:val="0"/>
          <w:dstrike w:val="0"/>
          <w:color w:val="auto"/>
          <w:sz w:val="21"/>
          <w:szCs w:val="21"/>
          <w:highlight w:val="none"/>
          <w:u w:val="single"/>
          <w:lang w:val="en-US" w:eastAsia="zh-CN"/>
        </w:rPr>
        <w:t>临时增加人员费用、员工奖励金及慰问金、单价金额在50元以下维修及易耗品费用</w:t>
      </w:r>
      <w:r>
        <w:rPr>
          <w:rFonts w:hint="eastAsia" w:ascii="宋体" w:hAnsi="宋体" w:eastAsia="宋体" w:cs="宋体"/>
          <w:b/>
          <w:strike w:val="0"/>
          <w:dstrike w:val="0"/>
          <w:color w:val="auto"/>
          <w:sz w:val="21"/>
          <w:szCs w:val="21"/>
          <w:highlight w:val="none"/>
          <w:u w:val="single"/>
        </w:rPr>
        <w:t>报价低于本表规定的，做无效投标处理。</w:t>
      </w:r>
    </w:p>
    <w:p w14:paraId="756FBFD4">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1"/>
          <w:szCs w:val="21"/>
          <w:highlight w:val="none"/>
          <w:u w:val="single"/>
        </w:rPr>
        <w:t>▲</w:t>
      </w:r>
      <w:r>
        <w:rPr>
          <w:rFonts w:hint="eastAsia" w:ascii="宋体" w:hAnsi="宋体" w:eastAsia="宋体" w:cs="宋体"/>
          <w:b/>
          <w:bCs w:val="0"/>
          <w:color w:val="auto"/>
          <w:sz w:val="21"/>
          <w:szCs w:val="21"/>
          <w:highlight w:val="none"/>
          <w:u w:val="single"/>
          <w:lang w:val="en-US" w:eastAsia="zh-CN"/>
        </w:rPr>
        <w:t>必须严格按照表格中规定的各岗位人数进行报价（不允许增减人数）。</w:t>
      </w:r>
    </w:p>
    <w:p w14:paraId="3ACE82B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b/>
          <w:bCs/>
          <w:color w:val="auto"/>
          <w:sz w:val="21"/>
          <w:szCs w:val="21"/>
          <w:highlight w:val="none"/>
          <w:u w:val="single"/>
        </w:rPr>
        <w:t>▲不提供详细分项报价将视为没有实质性响应</w:t>
      </w:r>
      <w:r>
        <w:rPr>
          <w:rFonts w:hint="eastAsia" w:ascii="宋体" w:hAnsi="宋体" w:eastAsia="宋体" w:cs="宋体"/>
          <w:b/>
          <w:bCs/>
          <w:color w:val="auto"/>
          <w:sz w:val="21"/>
          <w:szCs w:val="21"/>
          <w:highlight w:val="none"/>
          <w:u w:val="single"/>
          <w:lang w:val="en-US" w:eastAsia="zh-CN"/>
        </w:rPr>
        <w:t>采购</w:t>
      </w:r>
      <w:r>
        <w:rPr>
          <w:rFonts w:hint="eastAsia" w:ascii="宋体" w:hAnsi="宋体" w:eastAsia="宋体" w:cs="宋体"/>
          <w:b/>
          <w:bCs/>
          <w:color w:val="auto"/>
          <w:sz w:val="21"/>
          <w:szCs w:val="21"/>
          <w:highlight w:val="none"/>
          <w:u w:val="single"/>
        </w:rPr>
        <w:t>文件</w:t>
      </w:r>
      <w:r>
        <w:rPr>
          <w:rFonts w:hint="eastAsia" w:ascii="宋体" w:hAnsi="宋体" w:eastAsia="宋体" w:cs="宋体"/>
          <w:b/>
          <w:bCs/>
          <w:color w:val="auto"/>
          <w:sz w:val="21"/>
          <w:szCs w:val="21"/>
          <w:highlight w:val="none"/>
        </w:rPr>
        <w:t>。</w:t>
      </w:r>
    </w:p>
    <w:p w14:paraId="44BA3DD9">
      <w:pPr>
        <w:spacing w:line="240" w:lineRule="auto"/>
        <w:ind w:firstLine="422" w:firstLineChars="200"/>
        <w:rPr>
          <w:rFonts w:hint="eastAsia" w:ascii="宋体" w:hAnsi="宋体" w:eastAsia="宋体" w:cs="宋体"/>
          <w:b/>
          <w:szCs w:val="21"/>
          <w:highlight w:val="none"/>
        </w:rPr>
      </w:pP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szCs w:val="21"/>
          <w:highlight w:val="none"/>
          <w:u w:val="single"/>
        </w:rPr>
        <w:t>▲</w:t>
      </w:r>
      <w:r>
        <w:rPr>
          <w:rFonts w:hint="eastAsia" w:ascii="宋体" w:hAnsi="宋体" w:eastAsia="宋体" w:cs="宋体"/>
          <w:b/>
          <w:bCs/>
          <w:color w:val="auto"/>
          <w:sz w:val="21"/>
          <w:szCs w:val="21"/>
          <w:highlight w:val="none"/>
          <w:u w:val="single"/>
          <w:lang w:val="en-US" w:eastAsia="zh-CN"/>
        </w:rPr>
        <w:t>以上</w:t>
      </w:r>
      <w:r>
        <w:rPr>
          <w:rFonts w:hint="eastAsia" w:ascii="宋体" w:hAnsi="宋体" w:eastAsia="宋体" w:cs="宋体"/>
          <w:b/>
          <w:szCs w:val="21"/>
          <w:highlight w:val="none"/>
          <w:u w:val="single"/>
        </w:rPr>
        <w:t>报价不得出现在技术标中。</w:t>
      </w:r>
    </w:p>
    <w:p w14:paraId="62CB4E87">
      <w:pPr>
        <w:spacing w:line="360" w:lineRule="auto"/>
        <w:rPr>
          <w:rFonts w:hint="eastAsia" w:ascii="宋体" w:hAnsi="宋体" w:eastAsia="宋体" w:cs="宋体"/>
          <w:sz w:val="22"/>
          <w:highlight w:val="none"/>
        </w:rPr>
      </w:pPr>
    </w:p>
    <w:p w14:paraId="37E3F306">
      <w:pPr>
        <w:spacing w:line="36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15EE57A8">
      <w:pPr>
        <w:spacing w:line="36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6D0A51FF">
      <w:pPr>
        <w:spacing w:line="360" w:lineRule="auto"/>
        <w:rPr>
          <w:rFonts w:hint="eastAsia" w:ascii="宋体" w:hAnsi="宋体" w:eastAsia="宋体" w:cs="宋体"/>
          <w:sz w:val="36"/>
          <w:szCs w:val="36"/>
          <w:highlight w:val="none"/>
        </w:rPr>
      </w:pPr>
      <w:r>
        <w:rPr>
          <w:rFonts w:hint="eastAsia" w:ascii="宋体" w:hAnsi="宋体" w:eastAsia="宋体" w:cs="宋体"/>
          <w:sz w:val="22"/>
          <w:highlight w:val="none"/>
        </w:rPr>
        <w:t>日 期：</w:t>
      </w:r>
    </w:p>
    <w:p w14:paraId="337FCB56">
      <w:pPr>
        <w:keepLines/>
        <w:spacing w:before="260" w:after="260"/>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201" w:name="_Hlk69240860"/>
      <w:r>
        <w:rPr>
          <w:rFonts w:hint="eastAsia" w:ascii="宋体" w:hAnsi="宋体" w:eastAsia="宋体" w:cs="宋体"/>
          <w:sz w:val="36"/>
          <w:szCs w:val="36"/>
          <w:highlight w:val="none"/>
        </w:rPr>
        <w:t>第四部分   采购内容及要求</w:t>
      </w:r>
      <w:bookmarkEnd w:id="196"/>
      <w:bookmarkEnd w:id="197"/>
      <w:bookmarkEnd w:id="198"/>
      <w:bookmarkEnd w:id="199"/>
      <w:bookmarkEnd w:id="200"/>
    </w:p>
    <w:bookmarkEnd w:id="201"/>
    <w:p w14:paraId="4FDF6A76">
      <w:pPr>
        <w:shd w:val="clear" w:color="auto" w:fill="auto"/>
        <w:spacing w:before="120" w:beforeLines="50" w:after="120" w:afterLines="50"/>
        <w:jc w:val="center"/>
        <w:rPr>
          <w:rFonts w:hint="eastAsia" w:ascii="宋体" w:hAnsi="宋体" w:eastAsia="宋体" w:cs="宋体"/>
          <w:b/>
          <w:bCs/>
          <w:color w:val="auto"/>
          <w:sz w:val="28"/>
          <w:highlight w:val="none"/>
        </w:rPr>
      </w:pPr>
      <w:bookmarkStart w:id="202" w:name="OLE_LINK32"/>
      <w:bookmarkStart w:id="203" w:name="_Toc26699"/>
      <w:bookmarkStart w:id="204" w:name="_Toc479601381"/>
      <w:bookmarkStart w:id="205" w:name="OLE_LINK31"/>
      <w:bookmarkStart w:id="206" w:name="_Toc262105511"/>
      <w:bookmarkStart w:id="207" w:name="_Toc221423626"/>
      <w:bookmarkStart w:id="208" w:name="_Toc221374633"/>
      <w:bookmarkStart w:id="209" w:name="_Toc448846693"/>
      <w:bookmarkStart w:id="210" w:name="_Toc221356897"/>
      <w:bookmarkStart w:id="211" w:name="_Toc241404209"/>
      <w:bookmarkStart w:id="212" w:name="_Toc223716005"/>
      <w:bookmarkStart w:id="213" w:name="_Toc246261272"/>
      <w:bookmarkStart w:id="214" w:name="_Toc262049426"/>
      <w:bookmarkStart w:id="215" w:name="_Toc249758722"/>
      <w:bookmarkStart w:id="216" w:name="_Toc245191321"/>
      <w:bookmarkStart w:id="217" w:name="_Toc239145361"/>
      <w:bookmarkStart w:id="218" w:name="_Toc249758872"/>
      <w:bookmarkStart w:id="219" w:name="_Toc245722288"/>
      <w:bookmarkStart w:id="220" w:name="_Toc221356960"/>
      <w:bookmarkStart w:id="221" w:name="_Toc222114886"/>
      <w:r>
        <w:rPr>
          <w:rFonts w:hint="eastAsia" w:ascii="宋体" w:hAnsi="宋体" w:eastAsia="宋体" w:cs="宋体"/>
          <w:b/>
          <w:bCs/>
          <w:color w:val="auto"/>
          <w:sz w:val="28"/>
          <w:highlight w:val="none"/>
        </w:rPr>
        <w:t>一、概述</w:t>
      </w:r>
    </w:p>
    <w:p w14:paraId="30B26B2D">
      <w:pPr>
        <w:numPr>
          <w:ilvl w:val="0"/>
          <w:numId w:val="25"/>
        </w:numPr>
        <w:shd w:val="clear" w:color="auto" w:fill="auto"/>
        <w:tabs>
          <w:tab w:val="left" w:pos="360"/>
          <w:tab w:val="clear" w:pos="680"/>
        </w:tabs>
        <w:spacing w:line="240" w:lineRule="auto"/>
        <w:ind w:left="357" w:hanging="3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本次项目为</w:t>
      </w:r>
      <w:r>
        <w:rPr>
          <w:rFonts w:hint="eastAsia" w:ascii="宋体" w:hAnsi="宋体" w:eastAsia="宋体" w:cs="宋体"/>
          <w:color w:val="auto"/>
          <w:sz w:val="21"/>
          <w:szCs w:val="21"/>
          <w:highlight w:val="none"/>
          <w:lang w:eastAsia="zh-CN"/>
        </w:rPr>
        <w:t>鳌江停车区物业服务项目</w:t>
      </w:r>
      <w:r>
        <w:rPr>
          <w:rFonts w:hint="eastAsia" w:ascii="宋体" w:hAnsi="宋体" w:eastAsia="宋体" w:cs="宋体"/>
          <w:color w:val="auto"/>
          <w:sz w:val="21"/>
          <w:szCs w:val="21"/>
          <w:highlight w:val="none"/>
        </w:rPr>
        <w:t>，投标供应商应根据采购人提供服务方案，在对值守区域分布现场、周边环境全面了解的情况下编制科学合理、切实可行的组织实施计划以及具体的保障措施、工作等程序。</w:t>
      </w:r>
    </w:p>
    <w:p w14:paraId="417C52D3">
      <w:pPr>
        <w:numPr>
          <w:ilvl w:val="0"/>
          <w:numId w:val="25"/>
        </w:numPr>
        <w:shd w:val="clear" w:color="auto" w:fill="auto"/>
        <w:tabs>
          <w:tab w:val="left" w:pos="360"/>
          <w:tab w:val="clear" w:pos="680"/>
        </w:tabs>
        <w:spacing w:line="240" w:lineRule="auto"/>
        <w:ind w:left="357" w:hanging="3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须依照现代企业制度，以合理的服务流程和服务人数、优良的服务质量、科学的管理、稳定的服务队伍、优惠的价格来制订详细的服务方案，充分体现自身的实力，发挥自身优势，为使物业管理服务工作顺利完成，并保证高速服务质量和形象上升一个新台阶。</w:t>
      </w:r>
    </w:p>
    <w:p w14:paraId="55255E44">
      <w:pPr>
        <w:shd w:val="clear" w:color="auto" w:fill="auto"/>
        <w:spacing w:before="120" w:beforeLines="50" w:after="120" w:afterLines="50" w:line="240" w:lineRule="auto"/>
        <w:jc w:val="center"/>
        <w:rPr>
          <w:rFonts w:hint="eastAsia" w:ascii="宋体" w:hAnsi="宋体" w:eastAsia="宋体" w:cs="宋体"/>
          <w:b/>
          <w:bCs/>
          <w:color w:val="auto"/>
          <w:sz w:val="21"/>
          <w:szCs w:val="21"/>
          <w:highlight w:val="none"/>
        </w:rPr>
      </w:pPr>
      <w:bookmarkStart w:id="222" w:name="_Toc187051758"/>
      <w:bookmarkStart w:id="223" w:name="_Toc184281683"/>
      <w:r>
        <w:rPr>
          <w:rFonts w:hint="eastAsia" w:ascii="宋体" w:hAnsi="宋体" w:eastAsia="宋体" w:cs="宋体"/>
          <w:b/>
          <w:bCs/>
          <w:color w:val="auto"/>
          <w:sz w:val="21"/>
          <w:szCs w:val="21"/>
          <w:highlight w:val="none"/>
        </w:rPr>
        <w:t>二、服务要求及规范</w:t>
      </w:r>
      <w:bookmarkEnd w:id="222"/>
      <w:bookmarkEnd w:id="223"/>
    </w:p>
    <w:p w14:paraId="4E71422A">
      <w:pPr>
        <w:numPr>
          <w:ilvl w:val="0"/>
          <w:numId w:val="26"/>
        </w:numPr>
        <w:shd w:val="clear" w:color="auto" w:fill="auto"/>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物业管理总说明：</w:t>
      </w:r>
      <w:r>
        <w:rPr>
          <w:rFonts w:hint="eastAsia" w:ascii="宋体" w:hAnsi="宋体" w:eastAsia="宋体" w:cs="宋体"/>
          <w:color w:val="auto"/>
          <w:sz w:val="21"/>
          <w:szCs w:val="21"/>
          <w:highlight w:val="none"/>
        </w:rPr>
        <w:t>为保障停车区环境卫生、停车秩序和服务质量等工作。根据关于印发《关于进一步加强高速公路</w:t>
      </w:r>
      <w:r>
        <w:rPr>
          <w:rFonts w:hint="eastAsia" w:ascii="宋体" w:hAnsi="宋体" w:eastAsia="宋体" w:cs="宋体"/>
          <w:color w:val="auto"/>
          <w:sz w:val="21"/>
          <w:szCs w:val="21"/>
          <w:highlight w:val="none"/>
          <w:lang w:eastAsia="zh-CN"/>
        </w:rPr>
        <w:t>停车区</w:t>
      </w:r>
      <w:r>
        <w:rPr>
          <w:rFonts w:hint="eastAsia" w:ascii="宋体" w:hAnsi="宋体" w:eastAsia="宋体" w:cs="宋体"/>
          <w:color w:val="auto"/>
          <w:sz w:val="21"/>
          <w:szCs w:val="21"/>
          <w:highlight w:val="none"/>
        </w:rPr>
        <w:t>保安、保洁工作的通知》（浙公运[2020]80号文件）文件精神，优化功能布局，完善服务设施，强化服务功能，创新管理机制，全面提升本停车区服务能力，为人民群众美好出行需求提供更高品质服务。</w:t>
      </w:r>
    </w:p>
    <w:p w14:paraId="43BEFA77">
      <w:pPr>
        <w:widowControl/>
        <w:numPr>
          <w:ilvl w:val="1"/>
          <w:numId w:val="26"/>
        </w:numPr>
        <w:shd w:val="clear" w:color="auto" w:fill="auto"/>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安全管理为主要服务管理内容，制定安全管理服务细则。卫生保洁的服务标准质量要求按现代化标准制定服务规程，在充分了解掌握环境的情况下编制科学合理、切实可行的组织实施计划以及具体的保障措施、工作程序。本着对企业品牌的延伸，以社会化效益为重的原则，按现代企业制度运行，以热心、爱心、专心、贴心的服务，为后勤社会化提供全方位、一体化的专业服务保障。确保各停车区域处于正常、有序、高效的状态， 运转正常，各项活动顺利完成。</w:t>
      </w:r>
    </w:p>
    <w:p w14:paraId="4CF3D6F2">
      <w:pPr>
        <w:widowControl/>
        <w:numPr>
          <w:ilvl w:val="1"/>
          <w:numId w:val="26"/>
        </w:numPr>
        <w:shd w:val="clear" w:color="auto" w:fill="auto"/>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建立并完善各种管理制度和工作流程，明确分工职责和工作质量标准，强化工作的计划性、可操作性和实效性，确保安全有序，确保设备维运的及时性和准确性，确保设备安全和维保质量， 确保环境舒适、有序，让服务对象舒心，为各停车区域提供优良的后勤保障。做好卫生保洁及生活服务的工作质量。</w:t>
      </w:r>
    </w:p>
    <w:p w14:paraId="4A50652D">
      <w:pPr>
        <w:widowControl/>
        <w:numPr>
          <w:ilvl w:val="1"/>
          <w:numId w:val="26"/>
        </w:numPr>
        <w:shd w:val="clear" w:color="auto" w:fill="auto"/>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人员结构合理，分工明确。一般员工有相关专业所需的上岗证。所有人员要求政治上可靠，身体素质好，懂礼貌，善服务，无不良行为记录，重要岗位人员必须经采购人考核、政治审查通过方可录用。</w:t>
      </w:r>
    </w:p>
    <w:p w14:paraId="402B1D9F">
      <w:pPr>
        <w:widowControl/>
        <w:numPr>
          <w:ilvl w:val="1"/>
          <w:numId w:val="26"/>
        </w:numPr>
        <w:shd w:val="clear" w:color="auto" w:fill="auto"/>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组织人员做好管理区域内的日常管养、门卫、保安、公共安全、治安纠纷、路产及设施赔偿、停车秩序工作；</w:t>
      </w:r>
    </w:p>
    <w:p w14:paraId="389094FE">
      <w:pPr>
        <w:widowControl/>
        <w:numPr>
          <w:ilvl w:val="1"/>
          <w:numId w:val="26"/>
        </w:numPr>
        <w:shd w:val="clear" w:color="auto" w:fill="auto"/>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制订管理区域内管理服务的详细计划和方案，保障停车区行车的方便、安全，保持外场设施完好、环境优美、公共秩序良好；</w:t>
      </w:r>
    </w:p>
    <w:p w14:paraId="46BAB642">
      <w:pPr>
        <w:widowControl/>
        <w:numPr>
          <w:ilvl w:val="1"/>
          <w:numId w:val="26"/>
        </w:numPr>
        <w:shd w:val="clear" w:color="auto" w:fill="auto"/>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负责做好本班组员工文明值勤、现场动态管理、公共安全管理、日常巡查和检查；</w:t>
      </w:r>
    </w:p>
    <w:p w14:paraId="5ADE0522">
      <w:pPr>
        <w:widowControl/>
        <w:numPr>
          <w:ilvl w:val="1"/>
          <w:numId w:val="26"/>
        </w:numPr>
        <w:shd w:val="clear" w:color="auto" w:fill="auto"/>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制定管理区域内部管理制度，规范所属人员的行为，做好所属人员的上岗、技能培训和考核工作，及时处理下属人员的违规行为；</w:t>
      </w:r>
    </w:p>
    <w:p w14:paraId="7E8389D1">
      <w:pPr>
        <w:widowControl/>
        <w:numPr>
          <w:ilvl w:val="1"/>
          <w:numId w:val="26"/>
        </w:numPr>
        <w:shd w:val="clear" w:color="auto" w:fill="auto"/>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定期听取停车区的意见和建议，改进和完善管理服务；</w:t>
      </w:r>
    </w:p>
    <w:p w14:paraId="76CEED19">
      <w:pPr>
        <w:widowControl/>
        <w:numPr>
          <w:ilvl w:val="1"/>
          <w:numId w:val="26"/>
        </w:numPr>
        <w:shd w:val="clear" w:color="auto" w:fill="auto"/>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对管理区域内的违法行为或违反停车区相关规定的行为，应立即依法劝阻、制止，并向停车区有关部门报告；</w:t>
      </w:r>
    </w:p>
    <w:p w14:paraId="720CCFFF">
      <w:pPr>
        <w:widowControl/>
        <w:numPr>
          <w:ilvl w:val="1"/>
          <w:numId w:val="26"/>
        </w:numPr>
        <w:shd w:val="clear" w:color="auto" w:fill="auto"/>
        <w:tabs>
          <w:tab w:val="left" w:pos="640"/>
          <w:tab w:val="clear" w:pos="680"/>
        </w:tabs>
        <w:spacing w:line="240" w:lineRule="auto"/>
        <w:ind w:left="640" w:hanging="64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配合停车区做好各项迎检工作，完成停车区领导交办的其他工作。建立各类应急预案（如临时性紧急会议、上级重要领导来考察调研、抗台等）， 并培训相关人员达到相关要求。</w:t>
      </w:r>
    </w:p>
    <w:p w14:paraId="1D095F95">
      <w:pPr>
        <w:numPr>
          <w:ilvl w:val="0"/>
          <w:numId w:val="26"/>
        </w:numPr>
        <w:shd w:val="clear" w:color="auto" w:fill="auto"/>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物业概况</w:t>
      </w:r>
    </w:p>
    <w:p w14:paraId="5DCF805C">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鳌江停车区</w:t>
      </w:r>
      <w:r>
        <w:rPr>
          <w:rFonts w:hint="eastAsia" w:ascii="宋体" w:hAnsi="宋体" w:eastAsia="宋体" w:cs="宋体"/>
          <w:color w:val="auto"/>
          <w:sz w:val="21"/>
          <w:szCs w:val="21"/>
          <w:highlight w:val="none"/>
          <w:lang w:bidi="ar"/>
        </w:rPr>
        <w:t xml:space="preserve">占地面积42亩，配置加油站、商业商铺、公共卫生间、无障碍卫生间、开水间等公共服务设施，为司乘人员提供 24 小时公共服务。 </w:t>
      </w:r>
    </w:p>
    <w:p w14:paraId="7FF346C9">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服务内容：秩序维护、咨询服务、设备维修、卫生管理等；</w:t>
      </w:r>
    </w:p>
    <w:p w14:paraId="4E9B2F26">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bidi="ar"/>
        </w:rPr>
        <w:t>岗位配置</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人数）</w:t>
      </w:r>
      <w:r>
        <w:rPr>
          <w:rFonts w:hint="eastAsia" w:ascii="宋体" w:hAnsi="宋体" w:eastAsia="宋体" w:cs="宋体"/>
          <w:color w:val="auto"/>
          <w:sz w:val="21"/>
          <w:szCs w:val="21"/>
          <w:highlight w:val="none"/>
          <w:lang w:bidi="ar"/>
        </w:rPr>
        <w:t>：23</w:t>
      </w:r>
      <w:r>
        <w:rPr>
          <w:rFonts w:hint="eastAsia" w:ascii="宋体" w:hAnsi="宋体" w:eastAsia="宋体" w:cs="宋体"/>
          <w:color w:val="auto"/>
          <w:sz w:val="21"/>
          <w:szCs w:val="21"/>
          <w:highlight w:val="none"/>
          <w:lang w:val="en-US" w:eastAsia="zh-CN" w:bidi="ar"/>
        </w:rPr>
        <w:t>人</w:t>
      </w:r>
      <w:r>
        <w:rPr>
          <w:rFonts w:hint="eastAsia" w:ascii="宋体" w:hAnsi="宋体" w:eastAsia="宋体" w:cs="宋体"/>
          <w:color w:val="auto"/>
          <w:sz w:val="21"/>
          <w:szCs w:val="21"/>
          <w:highlight w:val="none"/>
          <w:lang w:bidi="ar"/>
        </w:rPr>
        <w:t>，各岗位</w:t>
      </w:r>
      <w:r>
        <w:rPr>
          <w:rFonts w:hint="eastAsia" w:ascii="宋体" w:hAnsi="宋体" w:eastAsia="宋体" w:cs="宋体"/>
          <w:color w:val="auto"/>
          <w:sz w:val="21"/>
          <w:szCs w:val="21"/>
          <w:highlight w:val="none"/>
          <w:lang w:val="en-US" w:eastAsia="zh-CN" w:bidi="ar"/>
        </w:rPr>
        <w:t>人数</w:t>
      </w:r>
      <w:r>
        <w:rPr>
          <w:rFonts w:hint="eastAsia" w:ascii="宋体" w:hAnsi="宋体" w:eastAsia="宋体" w:cs="宋体"/>
          <w:color w:val="auto"/>
          <w:sz w:val="21"/>
          <w:szCs w:val="21"/>
          <w:highlight w:val="none"/>
          <w:lang w:bidi="ar"/>
        </w:rPr>
        <w:t>满足现场要求。</w:t>
      </w:r>
    </w:p>
    <w:p w14:paraId="2756A027">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各岗位如下表所示：</w:t>
      </w:r>
    </w:p>
    <w:tbl>
      <w:tblPr>
        <w:tblStyle w:val="24"/>
        <w:tblW w:w="8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859"/>
        <w:gridCol w:w="1743"/>
        <w:gridCol w:w="3329"/>
      </w:tblGrid>
      <w:tr w14:paraId="31A42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7" w:type="dxa"/>
            <w:noWrap w:val="0"/>
            <w:vAlign w:val="center"/>
          </w:tcPr>
          <w:p w14:paraId="1DC37F28">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59" w:type="dxa"/>
            <w:noWrap w:val="0"/>
            <w:vAlign w:val="center"/>
          </w:tcPr>
          <w:p w14:paraId="61506B29">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服务人员岗位名称</w:t>
            </w:r>
          </w:p>
        </w:tc>
        <w:tc>
          <w:tcPr>
            <w:tcW w:w="1743" w:type="dxa"/>
            <w:noWrap w:val="0"/>
            <w:vAlign w:val="center"/>
          </w:tcPr>
          <w:p w14:paraId="6D318F70">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数</w:t>
            </w:r>
          </w:p>
        </w:tc>
        <w:tc>
          <w:tcPr>
            <w:tcW w:w="3329" w:type="dxa"/>
            <w:noWrap w:val="0"/>
            <w:vAlign w:val="center"/>
          </w:tcPr>
          <w:p w14:paraId="73988EFD">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3471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7" w:type="dxa"/>
            <w:noWrap w:val="0"/>
            <w:vAlign w:val="center"/>
          </w:tcPr>
          <w:p w14:paraId="2099D723">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59" w:type="dxa"/>
            <w:noWrap w:val="0"/>
            <w:vAlign w:val="center"/>
          </w:tcPr>
          <w:p w14:paraId="30C46804">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物业经理</w:t>
            </w:r>
          </w:p>
        </w:tc>
        <w:tc>
          <w:tcPr>
            <w:tcW w:w="1743" w:type="dxa"/>
            <w:noWrap w:val="0"/>
            <w:vAlign w:val="center"/>
          </w:tcPr>
          <w:p w14:paraId="2875C2B7">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329" w:type="dxa"/>
            <w:noWrap w:val="0"/>
            <w:vAlign w:val="center"/>
          </w:tcPr>
          <w:p w14:paraId="53DDBB60">
            <w:pPr>
              <w:shd w:val="clear" w:color="auto" w:fill="auto"/>
              <w:adjustRightInd w:val="0"/>
              <w:snapToGrid w:val="0"/>
              <w:spacing w:line="240" w:lineRule="auto"/>
              <w:ind w:left="376" w:hanging="359" w:hangingChars="171"/>
              <w:rPr>
                <w:rFonts w:hint="eastAsia" w:ascii="宋体" w:hAnsi="宋体" w:eastAsia="宋体" w:cs="宋体"/>
                <w:color w:val="auto"/>
                <w:sz w:val="21"/>
                <w:szCs w:val="21"/>
                <w:highlight w:val="none"/>
              </w:rPr>
            </w:pPr>
          </w:p>
        </w:tc>
      </w:tr>
      <w:tr w14:paraId="05715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7" w:type="dxa"/>
            <w:noWrap w:val="0"/>
            <w:vAlign w:val="center"/>
          </w:tcPr>
          <w:p w14:paraId="51CF1596">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59" w:type="dxa"/>
            <w:noWrap w:val="0"/>
            <w:vAlign w:val="center"/>
          </w:tcPr>
          <w:p w14:paraId="7091E79B">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水电工</w:t>
            </w:r>
          </w:p>
        </w:tc>
        <w:tc>
          <w:tcPr>
            <w:tcW w:w="1743" w:type="dxa"/>
            <w:noWrap w:val="0"/>
            <w:vAlign w:val="center"/>
          </w:tcPr>
          <w:p w14:paraId="1CB00444">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329" w:type="dxa"/>
            <w:noWrap w:val="0"/>
            <w:vAlign w:val="center"/>
          </w:tcPr>
          <w:p w14:paraId="5B4D2DE1">
            <w:pPr>
              <w:shd w:val="clear" w:color="auto" w:fill="auto"/>
              <w:adjustRightInd w:val="0"/>
              <w:snapToGrid w:val="0"/>
              <w:spacing w:line="240" w:lineRule="auto"/>
              <w:ind w:left="376" w:hanging="359" w:hangingChars="171"/>
              <w:rPr>
                <w:rFonts w:hint="eastAsia" w:ascii="宋体" w:hAnsi="宋体" w:eastAsia="宋体" w:cs="宋体"/>
                <w:color w:val="auto"/>
                <w:sz w:val="21"/>
                <w:szCs w:val="21"/>
                <w:highlight w:val="none"/>
              </w:rPr>
            </w:pPr>
          </w:p>
        </w:tc>
      </w:tr>
      <w:tr w14:paraId="22A0F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7" w:type="dxa"/>
            <w:noWrap w:val="0"/>
            <w:vAlign w:val="center"/>
          </w:tcPr>
          <w:p w14:paraId="419B969C">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59" w:type="dxa"/>
            <w:noWrap w:val="0"/>
            <w:vAlign w:val="center"/>
          </w:tcPr>
          <w:p w14:paraId="1929118A">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保安队长</w:t>
            </w:r>
          </w:p>
        </w:tc>
        <w:tc>
          <w:tcPr>
            <w:tcW w:w="1743" w:type="dxa"/>
            <w:noWrap w:val="0"/>
            <w:vAlign w:val="center"/>
          </w:tcPr>
          <w:p w14:paraId="1128D6CC">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329" w:type="dxa"/>
            <w:noWrap w:val="0"/>
            <w:vAlign w:val="center"/>
          </w:tcPr>
          <w:p w14:paraId="4DB4220D">
            <w:pPr>
              <w:shd w:val="clear" w:color="auto" w:fill="auto"/>
              <w:adjustRightInd w:val="0"/>
              <w:snapToGrid w:val="0"/>
              <w:spacing w:line="240" w:lineRule="auto"/>
              <w:ind w:left="376" w:hanging="359" w:hangingChars="171"/>
              <w:rPr>
                <w:rFonts w:hint="eastAsia" w:ascii="宋体" w:hAnsi="宋体" w:eastAsia="宋体" w:cs="宋体"/>
                <w:color w:val="auto"/>
                <w:sz w:val="21"/>
                <w:szCs w:val="21"/>
                <w:highlight w:val="none"/>
              </w:rPr>
            </w:pPr>
          </w:p>
        </w:tc>
      </w:tr>
      <w:tr w14:paraId="6319C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7" w:type="dxa"/>
            <w:noWrap w:val="0"/>
            <w:vAlign w:val="center"/>
          </w:tcPr>
          <w:p w14:paraId="26E0B1EA">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859" w:type="dxa"/>
            <w:noWrap w:val="0"/>
            <w:vAlign w:val="center"/>
          </w:tcPr>
          <w:p w14:paraId="03EFF8EA">
            <w:pPr>
              <w:widowControl/>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保安</w:t>
            </w:r>
          </w:p>
        </w:tc>
        <w:tc>
          <w:tcPr>
            <w:tcW w:w="1743" w:type="dxa"/>
            <w:noWrap w:val="0"/>
            <w:vAlign w:val="center"/>
          </w:tcPr>
          <w:p w14:paraId="0C23AACB">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329" w:type="dxa"/>
            <w:noWrap w:val="0"/>
            <w:vAlign w:val="center"/>
          </w:tcPr>
          <w:p w14:paraId="740DA7EA">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白班4人，中班3人，晚班3人</w:t>
            </w:r>
          </w:p>
        </w:tc>
      </w:tr>
      <w:tr w14:paraId="093B2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7" w:type="dxa"/>
            <w:noWrap w:val="0"/>
            <w:vAlign w:val="center"/>
          </w:tcPr>
          <w:p w14:paraId="0E308B83">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859" w:type="dxa"/>
            <w:noWrap w:val="0"/>
            <w:vAlign w:val="center"/>
          </w:tcPr>
          <w:p w14:paraId="05D6E468">
            <w:pPr>
              <w:widowControl/>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保洁</w:t>
            </w:r>
          </w:p>
        </w:tc>
        <w:tc>
          <w:tcPr>
            <w:tcW w:w="1743" w:type="dxa"/>
            <w:noWrap w:val="0"/>
            <w:vAlign w:val="center"/>
          </w:tcPr>
          <w:p w14:paraId="2D03AA3E">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329" w:type="dxa"/>
            <w:noWrap w:val="0"/>
            <w:vAlign w:val="center"/>
          </w:tcPr>
          <w:p w14:paraId="4828D37C">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白班4人，中班2人，晚班2人</w:t>
            </w:r>
          </w:p>
        </w:tc>
      </w:tr>
      <w:tr w14:paraId="49CD6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06" w:type="dxa"/>
            <w:gridSpan w:val="2"/>
            <w:noWrap w:val="0"/>
            <w:vAlign w:val="center"/>
          </w:tcPr>
          <w:p w14:paraId="248BE97C">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743" w:type="dxa"/>
            <w:noWrap w:val="0"/>
            <w:vAlign w:val="center"/>
          </w:tcPr>
          <w:p w14:paraId="3326C23F">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1人</w:t>
            </w:r>
          </w:p>
        </w:tc>
        <w:tc>
          <w:tcPr>
            <w:tcW w:w="3329" w:type="dxa"/>
            <w:noWrap w:val="0"/>
            <w:vAlign w:val="center"/>
          </w:tcPr>
          <w:p w14:paraId="14459100">
            <w:pPr>
              <w:shd w:val="clear" w:color="auto" w:fill="auto"/>
              <w:adjustRightInd w:val="0"/>
              <w:snapToGrid w:val="0"/>
              <w:spacing w:line="240" w:lineRule="auto"/>
              <w:ind w:left="376" w:hanging="359" w:hangingChars="171"/>
              <w:jc w:val="center"/>
              <w:rPr>
                <w:rFonts w:hint="eastAsia" w:ascii="宋体" w:hAnsi="宋体" w:eastAsia="宋体" w:cs="宋体"/>
                <w:color w:val="auto"/>
                <w:sz w:val="21"/>
                <w:szCs w:val="21"/>
                <w:highlight w:val="none"/>
              </w:rPr>
            </w:pPr>
          </w:p>
        </w:tc>
      </w:tr>
    </w:tbl>
    <w:p w14:paraId="25BC43F7">
      <w:pPr>
        <w:pStyle w:val="12"/>
        <w:shd w:val="clear" w:color="auto" w:fill="auto"/>
        <w:spacing w:before="0" w:beforeLines="0" w:after="0" w:afterLines="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0A3F5E2">
      <w:pPr>
        <w:pStyle w:val="12"/>
        <w:shd w:val="clear" w:color="auto" w:fill="auto"/>
        <w:spacing w:before="0" w:beforeLines="0" w:after="0" w:afterLines="0" w:line="240" w:lineRule="auto"/>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以上岗位为本项目投标要求的岗位数，投标时须严格按照该数量进行报价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在项目实施过程中，采购人有权根据实际情况对</w:t>
      </w:r>
      <w:r>
        <w:rPr>
          <w:rFonts w:hint="eastAsia" w:ascii="宋体" w:hAnsi="宋体" w:eastAsia="宋体" w:cs="宋体"/>
          <w:color w:val="auto"/>
          <w:sz w:val="21"/>
          <w:szCs w:val="21"/>
          <w:highlight w:val="none"/>
          <w:u w:val="single"/>
          <w:lang w:val="en-US" w:eastAsia="zh-CN"/>
        </w:rPr>
        <w:t>人数</w:t>
      </w:r>
      <w:r>
        <w:rPr>
          <w:rFonts w:hint="eastAsia" w:ascii="宋体" w:hAnsi="宋体" w:eastAsia="宋体" w:cs="宋体"/>
          <w:color w:val="auto"/>
          <w:sz w:val="21"/>
          <w:szCs w:val="21"/>
          <w:highlight w:val="none"/>
          <w:u w:val="single"/>
        </w:rPr>
        <w:t>和岗位配置进行调整</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val="en-US" w:eastAsia="zh-CN"/>
        </w:rPr>
        <w:t>如调整，</w:t>
      </w:r>
      <w:r>
        <w:rPr>
          <w:rFonts w:hint="eastAsia" w:ascii="宋体" w:hAnsi="宋体" w:eastAsia="宋体" w:cs="宋体"/>
          <w:b/>
          <w:color w:val="auto"/>
          <w:sz w:val="21"/>
          <w:szCs w:val="21"/>
          <w:highlight w:val="none"/>
          <w:u w:val="single"/>
        </w:rPr>
        <w:t>实际结算根据实际</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数量及</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rPr>
        <w:t>最终成交分项报价表中各岗位月工资按实结算物业费，临时增加人员费用每季按实结算支付）</w:t>
      </w:r>
      <w:r>
        <w:rPr>
          <w:rFonts w:hint="eastAsia" w:ascii="宋体" w:hAnsi="宋体" w:eastAsia="宋体" w:cs="宋体"/>
          <w:color w:val="auto"/>
          <w:sz w:val="21"/>
          <w:szCs w:val="21"/>
          <w:highlight w:val="none"/>
          <w:u w:val="single"/>
        </w:rPr>
        <w:t>，各供应商须充分考虑项目实施工程中的人员轮岗调休等事项，自行考虑报价风险。</w:t>
      </w:r>
    </w:p>
    <w:p w14:paraId="4933B029">
      <w:pPr>
        <w:pStyle w:val="12"/>
        <w:shd w:val="clear" w:color="auto" w:fill="auto"/>
        <w:spacing w:before="0" w:beforeLines="0" w:after="0" w:afterLines="0" w:line="24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物业经理需按规定参加停车区的日常排班值守，相关费用在报价过程中自行考虑，综合报价。</w:t>
      </w:r>
    </w:p>
    <w:p w14:paraId="10FFC94E">
      <w:pPr>
        <w:pStyle w:val="12"/>
        <w:shd w:val="clear" w:color="auto" w:fill="auto"/>
        <w:spacing w:before="0" w:beforeLines="0" w:after="0" w:afterLines="0" w:line="24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物业经理、水电工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保安队长除规定日常工作时间外，需24小时保持联络畅通，随时待命。在接到通知后需能及时赶赴现场处理相关事宜，保障停车区的正常运转。</w:t>
      </w:r>
    </w:p>
    <w:p w14:paraId="3AAA3A2F">
      <w:pPr>
        <w:pStyle w:val="12"/>
        <w:shd w:val="clear" w:color="auto" w:fill="auto"/>
        <w:spacing w:before="0" w:beforeLines="0" w:after="0" w:afterLines="0" w:line="24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所有人员均需经体检合格后方可上岗。</w:t>
      </w:r>
    </w:p>
    <w:p w14:paraId="0FCE98F4">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物业经理：高中以上文化程度，年龄在30-55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14:paraId="60F2B55A">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水电工：高中以上文化程度，男性，22-55岁，</w:t>
      </w:r>
      <w:r>
        <w:rPr>
          <w:rFonts w:hint="eastAsia" w:ascii="宋体" w:hAnsi="宋体" w:eastAsia="宋体" w:cs="宋体"/>
          <w:color w:val="auto"/>
          <w:sz w:val="21"/>
          <w:szCs w:val="21"/>
          <w:highlight w:val="none"/>
          <w:lang w:val="en-US" w:eastAsia="zh-CN" w:bidi="ar"/>
        </w:rPr>
        <w:t>工作优秀者适当放宽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bidi="ar"/>
        </w:rPr>
        <w:t>持有相关专业上岗证件，3年以上相关工作经验，具备业务实施能力和良好的服务意识、注重服务细节。</w:t>
      </w:r>
    </w:p>
    <w:p w14:paraId="25D5DE83">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保安：初中以上文化程度，男性，20-55岁（特别优秀的经采购人同意可适当放宽），身高1.65米以上，无近视，具有较强的安保和消防知识，退伍军人优先考虑，具有保安员资格证，一年以上安保工作经验，应变能力强、能吃苦耐劳。</w:t>
      </w:r>
    </w:p>
    <w:p w14:paraId="1690927F">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保洁员：男性20～55岁，女性20～50岁，特别优秀的经采购人同意可适当放宽；具备一定文化程度，会讲普通话，具有1年以上相关工作经验，五官端正，工作勤奋，具有服务意识、注重服务细节，具备吃苦耐劳的精神。</w:t>
      </w:r>
    </w:p>
    <w:p w14:paraId="182B6109">
      <w:pPr>
        <w:numPr>
          <w:ilvl w:val="0"/>
          <w:numId w:val="26"/>
        </w:numPr>
        <w:shd w:val="clear" w:color="auto" w:fill="auto"/>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服务标准及要求</w:t>
      </w:r>
    </w:p>
    <w:p w14:paraId="2FE2FAD2">
      <w:pPr>
        <w:numPr>
          <w:ilvl w:val="1"/>
          <w:numId w:val="26"/>
        </w:numPr>
        <w:shd w:val="clear" w:color="auto" w:fill="auto"/>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保洁服务要求</w:t>
      </w:r>
    </w:p>
    <w:p w14:paraId="7DAB5AAB">
      <w:pPr>
        <w:widowControl/>
        <w:numPr>
          <w:ilvl w:val="2"/>
          <w:numId w:val="26"/>
        </w:numPr>
        <w:shd w:val="clear" w:color="auto" w:fill="auto"/>
        <w:tabs>
          <w:tab w:val="left" w:pos="640"/>
          <w:tab w:val="clear" w:pos="1156"/>
        </w:tabs>
        <w:spacing w:line="240" w:lineRule="auto"/>
        <w:ind w:left="1060" w:hanging="106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公共区域（包括办公室、会议室</w:t>
      </w:r>
      <w:r>
        <w:rPr>
          <w:rFonts w:hint="eastAsia" w:ascii="宋体" w:hAnsi="宋体" w:eastAsia="宋体" w:cs="宋体"/>
          <w:color w:val="auto"/>
          <w:sz w:val="21"/>
          <w:szCs w:val="21"/>
          <w:highlight w:val="none"/>
          <w:lang w:eastAsia="zh-CN" w:bidi="ar"/>
        </w:rPr>
        <w:t>、食堂保洁</w:t>
      </w:r>
      <w:r>
        <w:rPr>
          <w:rFonts w:hint="eastAsia" w:ascii="宋体" w:hAnsi="宋体" w:eastAsia="宋体" w:cs="宋体"/>
          <w:color w:val="auto"/>
          <w:sz w:val="21"/>
          <w:szCs w:val="21"/>
          <w:highlight w:val="none"/>
          <w:lang w:bidi="ar"/>
        </w:rPr>
        <w:t>等）</w:t>
      </w:r>
    </w:p>
    <w:p w14:paraId="69C9A000">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规范着装，正确穿戴防护用品，做好地面防滑工作，外场作业人员务必穿反光背心。</w:t>
      </w:r>
    </w:p>
    <w:p w14:paraId="36EA6FF5">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负责广场的环境卫生工作，确保地面无明显垃圾、杂物、油污，无明显积水；垃圾全部装袋，一律投入垃圾箱，垃圾箱无寄生虫害，无蚊蝇繁衍；警示牌、指示牌、广告牌、草坪灯箱等无积灰、污垢，不锈钢栏、垃圾箱等清洁明亮，无水锈、无污渍、无损坏；垃圾桶量达到容器深度三分之二时，必须及时倾倒垃圾。</w:t>
      </w:r>
    </w:p>
    <w:p w14:paraId="06575C62">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负责做好公共区域公厕及草坪等绿化地带的清洁、苗木浇水；负责定期对墙面、顶棚、门、窗、镜面进行清洁，做到无污渍、无蛛网，发现堵塞、设施损坏或其他突发事故必须要及时上报处理。</w:t>
      </w:r>
    </w:p>
    <w:p w14:paraId="39C31A8D">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定期做好灭蚊、灭蝇工作，撒放消毒药水，保障垃圾房及垃圾箱无寄生虫害，无蚊蝇繁衍。</w:t>
      </w:r>
    </w:p>
    <w:p w14:paraId="04792380">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遵守停车区各项规章制度，不违反劳动纪律，不违章作业，对本岗位的安全生产负直接责任。</w:t>
      </w:r>
    </w:p>
    <w:p w14:paraId="6182392D">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熟悉区域内消防器材的放置位置，保持安全通道畅通，不得随意挪动、使用消防器材；学会正确使用灭火器，懂得报火警和简单的火灾扑救知识。</w:t>
      </w:r>
    </w:p>
    <w:p w14:paraId="06D96FE8">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积极参加各种活动、岗位技术练兵和应急预案演练。</w:t>
      </w:r>
    </w:p>
    <w:p w14:paraId="345E6053">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每日班后检查本部门区域的水、设备设施等安全事项落实情况。</w:t>
      </w:r>
    </w:p>
    <w:p w14:paraId="5DA09240">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发现安全隐患及时上报并整改，发生安全事故应及时上报并保护现场。</w:t>
      </w:r>
    </w:p>
    <w:p w14:paraId="07D2A530">
      <w:pPr>
        <w:widowControl/>
        <w:numPr>
          <w:ilvl w:val="2"/>
          <w:numId w:val="26"/>
        </w:numPr>
        <w:shd w:val="clear" w:color="auto" w:fill="auto"/>
        <w:tabs>
          <w:tab w:val="left" w:pos="640"/>
          <w:tab w:val="clear" w:pos="1156"/>
        </w:tabs>
        <w:spacing w:line="240" w:lineRule="auto"/>
        <w:ind w:left="1060" w:hanging="106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bidi="ar"/>
        </w:rPr>
        <w:t>公共卫生间</w:t>
      </w:r>
    </w:p>
    <w:p w14:paraId="05186D34">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遵守停车区各项安全生产规章制度，不违反劳动纪律，不违章作业，对本岗位的安全生产负直接责任。</w:t>
      </w:r>
    </w:p>
    <w:p w14:paraId="6A55D58E">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熟悉区域内的消防器材的放置位置，不得随意挪动、使用消防器材；学会正确使用灭火器，懂得报火警和简单的火灾扑救知识。</w:t>
      </w:r>
    </w:p>
    <w:p w14:paraId="59EAF6EA">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负责洗手间的环境卫生工作，及时清除大、小便器的污垢、水锈，疏通堵塞；做到地面无杂物、灰尘、污迹，墙面、顶棚、门、窗、镜面无污渍、蛛网；定期做好灭蚊、灭蝇工作，撒放消毒药水；及时倾倒垃圾，做到垃圾不超过容器深度的三分之二。</w:t>
      </w:r>
    </w:p>
    <w:p w14:paraId="5F16C1BB">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每日班后检查本部门区域的水、电、设备设施等安全事项落实情况。</w:t>
      </w:r>
    </w:p>
    <w:p w14:paraId="58A5684A">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规范着装，正确穿戴防护用品，做好地面防滑工作，做到文明服务。</w:t>
      </w:r>
    </w:p>
    <w:p w14:paraId="42B369B9">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积极参加各种安全活动、岗位技术练兵和事故预知训练。 </w:t>
      </w:r>
    </w:p>
    <w:p w14:paraId="0BDD1FC4">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及时放置、添加卫生纸、洗手液等。</w:t>
      </w:r>
    </w:p>
    <w:p w14:paraId="6CC86411">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发现安全隐患及时上报并整改，发生安全事故应及时上报并保护现场。</w:t>
      </w:r>
    </w:p>
    <w:p w14:paraId="6324B1C6">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完成上级领导临时交办的其他安全工作任务。</w:t>
      </w:r>
    </w:p>
    <w:p w14:paraId="00DC4003">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保安服务要求</w:t>
      </w:r>
    </w:p>
    <w:p w14:paraId="5B1609BF">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开展停车区各项安保工作。</w:t>
      </w:r>
    </w:p>
    <w:p w14:paraId="59207D0B">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负责责任区内治安管理，疏导出入口车辆和人员，确保出入口畅通有序。</w:t>
      </w:r>
    </w:p>
    <w:p w14:paraId="3440CE96">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对岗位上发生突发性事件，妥善处理紧急事件，及时报告，并定期开展训练、应急演练等培训活动。</w:t>
      </w:r>
    </w:p>
    <w:p w14:paraId="615D43F2">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负责做好边门进出人员、车辆的物资查验，确保停车区财产安全及现场秩序有序，对停车区边门进出情况做好详细记录。</w:t>
      </w:r>
    </w:p>
    <w:p w14:paraId="794F9E7B">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加强现场巡逻，负责做好各种车辆在停车区广场停放的现场指挥，做好危险品车辆的登记和指定停放工作，要求做到文明引导。</w:t>
      </w:r>
    </w:p>
    <w:p w14:paraId="17EB2C3D">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认真做好停车区消防管理工作，在巡逻过程，关注广场设备设施，如消防栓等是否存在漏水等问题，如有发现，及时上报。负责做好消防器材和其它公共设施日常检查工作，发现损坏及时上报。</w:t>
      </w:r>
    </w:p>
    <w:p w14:paraId="41D87180">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负责保安亭内的卫生清理工作。</w:t>
      </w:r>
    </w:p>
    <w:p w14:paraId="6836A9D1">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严格交接班手续，认真填写《保安值班记录》。</w:t>
      </w:r>
    </w:p>
    <w:p w14:paraId="225C7331">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提醒保洁员做好停车场等场所的卫生，及时制止司乘人员停车区内的不文明行为。</w:t>
      </w:r>
    </w:p>
    <w:p w14:paraId="162B49F3">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服从领导调配，认真完成上级交办的其他工作任务。</w:t>
      </w:r>
    </w:p>
    <w:p w14:paraId="1564F36D">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水电维修</w:t>
      </w:r>
    </w:p>
    <w:p w14:paraId="1589FC7B">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设备维修过程中，所需相关配件采购清单和要求由中标供应商提出。</w:t>
      </w:r>
    </w:p>
    <w:p w14:paraId="12F7FA91">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施设备维运、保养：依据现代企业管理要求，采用国家规定的设备设施运行维护管理标准，提供停车区域供配电(含高配)及照明系统、暖通系统、直饮水系统、给排水系统、消防系统、建筑智能化系统（灯光音响系统、电源系统、网络接入、安防系统、办公系统、电话系统）、建筑幕墙和建筑装饰以及室外配套工程等的正常运行，并配合外包单位的维运、日常维修和保养。提供对其他外来维保单位或改造更新服务单位、人员进行监督、管理、配合的服务。</w:t>
      </w:r>
    </w:p>
    <w:p w14:paraId="4D56F2D7">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电工应持证上岗，并符合地方行政管理部门的规范要求。</w:t>
      </w:r>
    </w:p>
    <w:p w14:paraId="2739A165">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房屋建筑的日常维护、维修和管理，包括：停车区域范围内的建筑物的内外墙面、楼梯间、办公区、会议室、休息区域、卫生间等。</w:t>
      </w:r>
    </w:p>
    <w:p w14:paraId="5202013A">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市政公用设施、附属建筑物、构筑物的维护、维修、保养和管理，包括：道路、广场、门警岗亭、停车区域内的水系景观管理与服务。</w:t>
      </w:r>
    </w:p>
    <w:p w14:paraId="71549614">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日常养护维修是为保持房屋原有完好程度和正常使用，而进行的日常养护和及时修复小损小坏等房屋维护管理工作。现有的建筑结构不变的基础上，均由中标供应商维修完成，采购人负责采购材料(政府立项项目除外)，具体标准如下：</w:t>
      </w:r>
    </w:p>
    <w:p w14:paraId="0C9D1C3B">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按有关法规政策规定和采购人约定对房屋及配套设施进行管理服务；</w:t>
      </w:r>
    </w:p>
    <w:p w14:paraId="71BAFC43">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房屋外观（包括屋面、天台）完好、整洁，外墙、公区楼梯间的面砖、玻璃等地面无污迹、无破损，外墙及公共空间无乱张贴、乱涂、乱画、乱悬挂现象，室外招牌、霓虹灯按规定设置，整齐有序；</w:t>
      </w:r>
    </w:p>
    <w:p w14:paraId="3B5E8D46">
      <w:pPr>
        <w:widowControl/>
        <w:numPr>
          <w:ilvl w:val="3"/>
          <w:numId w:val="26"/>
        </w:numPr>
        <w:shd w:val="clear" w:color="auto" w:fill="auto"/>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及时完成采购人交办的各项零星维修任务，零修合格率100%，随叫随到。</w:t>
      </w:r>
    </w:p>
    <w:p w14:paraId="17D457F3">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维修过程中的相关维修工具及材料由采购人提供，中标供应商按需领用，不得随意挪作他用。</w:t>
      </w:r>
    </w:p>
    <w:p w14:paraId="66856063">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采购人委派的其他相关工作。</w:t>
      </w:r>
    </w:p>
    <w:p w14:paraId="48D8B7DA">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其他岗位人员</w:t>
      </w:r>
    </w:p>
    <w:p w14:paraId="076014D7">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根据岗位要求完成相关工作。</w:t>
      </w:r>
    </w:p>
    <w:p w14:paraId="1055574A">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服务过程中需热情服务，不得无故迟到、早退、旷工，不得向服务对象及其他人员索要好处及回扣等。</w:t>
      </w:r>
    </w:p>
    <w:p w14:paraId="1C0DD2C2">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服务过程中发现问题及时向主管人员及采购人汇报。</w:t>
      </w:r>
    </w:p>
    <w:p w14:paraId="1F5C6032">
      <w:pPr>
        <w:widowControl/>
        <w:numPr>
          <w:ilvl w:val="2"/>
          <w:numId w:val="26"/>
        </w:numPr>
        <w:shd w:val="clear" w:color="auto" w:fill="auto"/>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采购人委派的其他相关工作。</w:t>
      </w:r>
    </w:p>
    <w:p w14:paraId="1C5F9F53">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各岗位其他相关要求详见合同条款各岗位考核标准。</w:t>
      </w:r>
    </w:p>
    <w:p w14:paraId="377E4E47">
      <w:pPr>
        <w:widowControl/>
        <w:numPr>
          <w:ilvl w:val="0"/>
          <w:numId w:val="26"/>
        </w:numPr>
        <w:shd w:val="clear" w:color="auto" w:fill="auto"/>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报价及其它要求</w:t>
      </w:r>
    </w:p>
    <w:p w14:paraId="33C6E4FA">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供应商应考虑企业自身实力、经验及项目实施过程中的各种因素，根据采购要求，详细说明所能提供的各项具体服务内容，自主确定报价（按年度进行报价）。</w:t>
      </w:r>
    </w:p>
    <w:p w14:paraId="74EF726B">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物业服务人员实行8小时工作制</w:t>
      </w:r>
      <w:r>
        <w:rPr>
          <w:rFonts w:hint="eastAsia" w:ascii="宋体" w:hAnsi="宋体" w:eastAsia="宋体" w:cs="宋体"/>
          <w:color w:val="auto"/>
          <w:sz w:val="21"/>
          <w:szCs w:val="21"/>
          <w:highlight w:val="none"/>
        </w:rPr>
        <w:t>，相关加班产生的费用由投标供应商在报价中自行考虑，综合报价。</w:t>
      </w:r>
    </w:p>
    <w:p w14:paraId="3B747AD6">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物业经理需按规定参加停车区的日常排班值守，相关费用在报价过程中自行考虑，综合报价。</w:t>
      </w:r>
    </w:p>
    <w:p w14:paraId="03CA2718">
      <w:pPr>
        <w:widowControl/>
        <w:numPr>
          <w:ilvl w:val="1"/>
          <w:numId w:val="26"/>
        </w:numPr>
        <w:shd w:val="clear" w:color="auto" w:fill="auto"/>
        <w:tabs>
          <w:tab w:val="left" w:pos="640"/>
        </w:tabs>
        <w:spacing w:line="240" w:lineRule="auto"/>
        <w:ind w:left="640" w:hanging="64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▲停车区临时增加人员加班费，加班费标准每人按</w:t>
      </w:r>
      <w:r>
        <w:rPr>
          <w:rFonts w:hint="eastAsia" w:ascii="宋体" w:hAnsi="宋体" w:eastAsia="宋体" w:cs="宋体"/>
          <w:color w:val="auto"/>
          <w:sz w:val="21"/>
          <w:szCs w:val="21"/>
          <w:highlight w:val="none"/>
          <w:u w:val="single"/>
          <w:lang w:val="en-US" w:eastAsia="zh-CN"/>
        </w:rPr>
        <w:t>15元/小时</w:t>
      </w:r>
      <w:r>
        <w:rPr>
          <w:rFonts w:hint="eastAsia" w:ascii="宋体" w:hAnsi="宋体" w:eastAsia="宋体" w:cs="宋体"/>
          <w:color w:val="auto"/>
          <w:sz w:val="21"/>
          <w:szCs w:val="21"/>
          <w:highlight w:val="none"/>
          <w:u w:val="single"/>
        </w:rPr>
        <w:t>，停车区临时增加人员加班费总额限额为</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万元整，包含在报价总价中，本费用最终按实际增加人员按实结算。</w:t>
      </w:r>
    </w:p>
    <w:p w14:paraId="32273C7D">
      <w:pPr>
        <w:widowControl/>
        <w:numPr>
          <w:ilvl w:val="1"/>
          <w:numId w:val="26"/>
        </w:numPr>
        <w:shd w:val="clear" w:color="auto" w:fill="auto"/>
        <w:tabs>
          <w:tab w:val="left" w:pos="640"/>
        </w:tabs>
        <w:spacing w:line="240" w:lineRule="auto"/>
        <w:ind w:left="640" w:hanging="64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▲员工奖励金及慰问金暂定每年</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万元整，包含在投标总价中，该费用</w:t>
      </w:r>
      <w:r>
        <w:rPr>
          <w:rFonts w:hint="eastAsia" w:ascii="宋体" w:hAnsi="宋体" w:eastAsia="宋体" w:cs="宋体"/>
          <w:color w:val="auto"/>
          <w:kern w:val="0"/>
          <w:sz w:val="21"/>
          <w:szCs w:val="21"/>
          <w:highlight w:val="none"/>
          <w:u w:val="single"/>
        </w:rPr>
        <w:t>用于停车区内员工的奖励及慰问，奖励（慰问）金额及奖励（慰问）方式由甲方根据相关员工的日常表现确定，但乙</w:t>
      </w:r>
      <w:r>
        <w:rPr>
          <w:rFonts w:hint="eastAsia" w:ascii="宋体" w:hAnsi="宋体" w:eastAsia="宋体" w:cs="宋体"/>
          <w:color w:val="auto"/>
          <w:sz w:val="21"/>
          <w:szCs w:val="21"/>
          <w:highlight w:val="none"/>
          <w:u w:val="single"/>
        </w:rPr>
        <w:t>方不得因本奖励金及慰问金的发放而扣减原本乙方自身应发放给员工的相关奖励及福利。本费用最终按实结算。</w:t>
      </w:r>
    </w:p>
    <w:p w14:paraId="444AF622">
      <w:pPr>
        <w:widowControl/>
        <w:numPr>
          <w:ilvl w:val="1"/>
          <w:numId w:val="26"/>
        </w:numPr>
        <w:shd w:val="clear" w:color="auto" w:fill="auto"/>
        <w:tabs>
          <w:tab w:val="left" w:pos="640"/>
        </w:tabs>
        <w:spacing w:line="240" w:lineRule="auto"/>
        <w:ind w:left="640" w:hanging="64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▲单价金额在50元以下维修及易耗品费用按</w:t>
      </w:r>
      <w:r>
        <w:rPr>
          <w:rFonts w:hint="eastAsia" w:ascii="宋体" w:hAnsi="宋体" w:eastAsia="宋体" w:cs="宋体"/>
          <w:color w:val="auto"/>
          <w:sz w:val="21"/>
          <w:szCs w:val="21"/>
          <w:highlight w:val="none"/>
          <w:u w:val="single"/>
          <w:lang w:val="en-US" w:eastAsia="zh-CN"/>
        </w:rPr>
        <w:t>2.5</w:t>
      </w:r>
      <w:r>
        <w:rPr>
          <w:rFonts w:hint="eastAsia" w:ascii="宋体" w:hAnsi="宋体" w:eastAsia="宋体" w:cs="宋体"/>
          <w:color w:val="auto"/>
          <w:sz w:val="21"/>
          <w:szCs w:val="21"/>
          <w:highlight w:val="none"/>
          <w:u w:val="single"/>
        </w:rPr>
        <w:t>万元/年计入，在承包总价中列支。维修申请单需在事发时或当月由乙方提出申请，甲方负责人确认，超出时间期限的申请，一律不予确认计量。本费用最终按实结算。</w:t>
      </w:r>
    </w:p>
    <w:p w14:paraId="456F41CC">
      <w:pPr>
        <w:widowControl/>
        <w:numPr>
          <w:ilvl w:val="1"/>
          <w:numId w:val="26"/>
        </w:numPr>
        <w:shd w:val="clear" w:color="auto" w:fill="auto"/>
        <w:tabs>
          <w:tab w:val="clear" w:pos="680"/>
        </w:tabs>
        <w:spacing w:line="240" w:lineRule="auto"/>
        <w:ind w:left="640" w:hanging="64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▲结合本项目具体情况，为保证项目人员服务水平，要求本次投标供应商员工基本工资最低不得</w:t>
      </w:r>
      <w:bookmarkStart w:id="224" w:name="OLE_LINK12"/>
      <w:bookmarkStart w:id="225" w:name="OLE_LINK11"/>
      <w:r>
        <w:rPr>
          <w:rFonts w:hint="eastAsia" w:ascii="宋体" w:hAnsi="宋体" w:eastAsia="宋体" w:cs="宋体"/>
          <w:b/>
          <w:color w:val="auto"/>
          <w:sz w:val="21"/>
          <w:szCs w:val="21"/>
          <w:highlight w:val="none"/>
          <w:u w:val="single"/>
        </w:rPr>
        <w:t>低于</w:t>
      </w:r>
      <w:r>
        <w:rPr>
          <w:rFonts w:hint="eastAsia" w:ascii="宋体" w:hAnsi="宋体" w:eastAsia="宋体" w:cs="宋体"/>
          <w:b/>
          <w:color w:val="auto"/>
          <w:sz w:val="21"/>
          <w:szCs w:val="21"/>
          <w:highlight w:val="none"/>
          <w:u w:val="single"/>
          <w:lang w:val="en-US" w:eastAsia="zh-CN"/>
        </w:rPr>
        <w:t>2800</w:t>
      </w:r>
      <w:r>
        <w:rPr>
          <w:rFonts w:hint="eastAsia" w:ascii="宋体" w:hAnsi="宋体" w:eastAsia="宋体" w:cs="宋体"/>
          <w:b/>
          <w:color w:val="auto"/>
          <w:sz w:val="21"/>
          <w:szCs w:val="21"/>
          <w:highlight w:val="none"/>
          <w:u w:val="single"/>
        </w:rPr>
        <w:t>元/月</w:t>
      </w:r>
      <w:bookmarkEnd w:id="224"/>
      <w:bookmarkEnd w:id="225"/>
      <w:r>
        <w:rPr>
          <w:rFonts w:hint="eastAsia" w:ascii="宋体" w:hAnsi="宋体" w:eastAsia="宋体" w:cs="宋体"/>
          <w:b/>
          <w:color w:val="auto"/>
          <w:sz w:val="21"/>
          <w:szCs w:val="21"/>
          <w:highlight w:val="none"/>
          <w:u w:val="single"/>
        </w:rPr>
        <w:t>，每月最低工资不包括下列四项收入：延长工作时间的工资；中班、夜班、高温、低温、有毒有害等特殊工作环境条件下的津贴；贴补伙食、住房等支付给劳动者的非货币性收入；法律、法规和国家规定的劳动者福利待遇等。</w:t>
      </w:r>
    </w:p>
    <w:p w14:paraId="01468044">
      <w:pPr>
        <w:widowControl/>
        <w:numPr>
          <w:ilvl w:val="1"/>
          <w:numId w:val="26"/>
        </w:numPr>
        <w:shd w:val="clear" w:color="auto" w:fill="auto"/>
        <w:tabs>
          <w:tab w:val="clear" w:pos="680"/>
        </w:tabs>
        <w:spacing w:line="240" w:lineRule="auto"/>
        <w:ind w:left="640" w:hanging="640"/>
        <w:jc w:val="left"/>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▲供应商本项目拟投入所有人员不得少于</w:t>
      </w:r>
      <w:r>
        <w:rPr>
          <w:rFonts w:hint="eastAsia" w:ascii="宋体" w:hAnsi="宋体" w:eastAsia="宋体" w:cs="宋体"/>
          <w:b/>
          <w:color w:val="auto"/>
          <w:sz w:val="21"/>
          <w:szCs w:val="21"/>
          <w:highlight w:val="none"/>
          <w:u w:val="single"/>
          <w:lang w:eastAsia="zh-CN"/>
        </w:rPr>
        <w:t>采购文件</w:t>
      </w:r>
      <w:r>
        <w:rPr>
          <w:rFonts w:hint="eastAsia" w:ascii="宋体" w:hAnsi="宋体" w:eastAsia="宋体" w:cs="宋体"/>
          <w:b/>
          <w:color w:val="auto"/>
          <w:sz w:val="21"/>
          <w:szCs w:val="21"/>
          <w:highlight w:val="none"/>
          <w:u w:val="single"/>
        </w:rPr>
        <w:t>规定的人数，并依法在</w:t>
      </w:r>
      <w:r>
        <w:rPr>
          <w:rFonts w:hint="eastAsia" w:ascii="宋体" w:hAnsi="宋体" w:eastAsia="宋体" w:cs="宋体"/>
          <w:b/>
          <w:color w:val="auto"/>
          <w:sz w:val="21"/>
          <w:szCs w:val="21"/>
          <w:highlight w:val="none"/>
          <w:u w:val="single"/>
          <w:lang w:eastAsia="zh-CN"/>
        </w:rPr>
        <w:t>平阳</w:t>
      </w:r>
      <w:r>
        <w:rPr>
          <w:rFonts w:hint="eastAsia" w:ascii="宋体" w:hAnsi="宋体" w:eastAsia="宋体" w:cs="宋体"/>
          <w:b/>
          <w:color w:val="auto"/>
          <w:sz w:val="21"/>
          <w:szCs w:val="21"/>
          <w:highlight w:val="none"/>
          <w:u w:val="single"/>
        </w:rPr>
        <w:t>参加缴纳各种社会保险（含基本养老、工伤、医疗（门诊、住院）、生育、失业五险种），企业承担部分社保按全部人员平均每人每月不低于</w:t>
      </w:r>
      <w:r>
        <w:rPr>
          <w:rFonts w:hint="eastAsia" w:ascii="宋体" w:hAnsi="宋体" w:eastAsia="宋体" w:cs="宋体"/>
          <w:b/>
          <w:color w:val="auto"/>
          <w:sz w:val="21"/>
          <w:szCs w:val="21"/>
          <w:highlight w:val="none"/>
          <w:u w:val="single"/>
          <w:lang w:val="en-US" w:eastAsia="zh-CN"/>
        </w:rPr>
        <w:t>985</w:t>
      </w:r>
      <w:r>
        <w:rPr>
          <w:rFonts w:hint="eastAsia" w:ascii="宋体" w:hAnsi="宋体" w:eastAsia="宋体" w:cs="宋体"/>
          <w:b/>
          <w:color w:val="auto"/>
          <w:sz w:val="21"/>
          <w:szCs w:val="21"/>
          <w:highlight w:val="none"/>
          <w:u w:val="single"/>
        </w:rPr>
        <w:t>元人民币计算。（中标后，如因中标供应商未按相关法律、法规缴纳社保而引起的纠纷投诉，由中标供应商自行承担相关后果，采购人概不负责。）</w:t>
      </w:r>
    </w:p>
    <w:p w14:paraId="7C49212D">
      <w:pPr>
        <w:widowControl/>
        <w:numPr>
          <w:ilvl w:val="1"/>
          <w:numId w:val="26"/>
        </w:numPr>
        <w:shd w:val="clear" w:color="auto" w:fill="auto"/>
        <w:tabs>
          <w:tab w:val="clear" w:pos="680"/>
        </w:tabs>
        <w:spacing w:line="240" w:lineRule="auto"/>
        <w:ind w:left="640" w:hanging="64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中标供应商需按国家规定发放相关岗位高温补贴。</w:t>
      </w:r>
    </w:p>
    <w:p w14:paraId="146BE188">
      <w:pPr>
        <w:widowControl/>
        <w:numPr>
          <w:ilvl w:val="1"/>
          <w:numId w:val="26"/>
        </w:numPr>
        <w:shd w:val="clear" w:color="auto" w:fill="auto"/>
        <w:tabs>
          <w:tab w:val="clear" w:pos="680"/>
        </w:tabs>
        <w:spacing w:line="240" w:lineRule="auto"/>
        <w:ind w:left="640" w:hanging="64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考虑到项目在高速公路停车区，为全年无休状态，中标供应商需按规定发放节假日补贴。</w:t>
      </w:r>
    </w:p>
    <w:p w14:paraId="7860E1FC">
      <w:pPr>
        <w:widowControl/>
        <w:numPr>
          <w:ilvl w:val="1"/>
          <w:numId w:val="26"/>
        </w:numPr>
        <w:shd w:val="clear" w:color="auto" w:fill="auto"/>
        <w:tabs>
          <w:tab w:val="clear" w:pos="680"/>
        </w:tabs>
        <w:spacing w:line="240" w:lineRule="auto"/>
        <w:ind w:left="640" w:hanging="64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▲工作期间，相关服务人员需在指定</w:t>
      </w:r>
      <w:r>
        <w:rPr>
          <w:rFonts w:hint="eastAsia" w:ascii="宋体" w:hAnsi="宋体" w:eastAsia="宋体" w:cs="宋体"/>
          <w:color w:val="auto"/>
          <w:sz w:val="21"/>
          <w:szCs w:val="21"/>
          <w:highlight w:val="none"/>
          <w:u w:val="single"/>
          <w:lang w:val="en-US" w:eastAsia="zh-CN"/>
        </w:rPr>
        <w:t>地点</w:t>
      </w:r>
      <w:r>
        <w:rPr>
          <w:rFonts w:hint="eastAsia" w:ascii="宋体" w:hAnsi="宋体" w:eastAsia="宋体" w:cs="宋体"/>
          <w:color w:val="auto"/>
          <w:sz w:val="21"/>
          <w:szCs w:val="21"/>
          <w:highlight w:val="none"/>
          <w:u w:val="single"/>
        </w:rPr>
        <w:t>就餐，</w:t>
      </w:r>
      <w:r>
        <w:rPr>
          <w:rFonts w:hint="eastAsia" w:ascii="宋体" w:hAnsi="宋体" w:eastAsia="宋体" w:cs="宋体"/>
          <w:color w:val="auto"/>
          <w:sz w:val="21"/>
          <w:szCs w:val="21"/>
          <w:highlight w:val="none"/>
          <w:u w:val="single"/>
          <w:lang w:val="en-US" w:eastAsia="zh-CN"/>
        </w:rPr>
        <w:t>所有服务人员的</w:t>
      </w:r>
      <w:r>
        <w:rPr>
          <w:rFonts w:hint="eastAsia" w:ascii="宋体" w:hAnsi="宋体" w:eastAsia="宋体" w:cs="宋体"/>
          <w:color w:val="auto"/>
          <w:sz w:val="21"/>
          <w:szCs w:val="21"/>
          <w:highlight w:val="none"/>
          <w:u w:val="single"/>
        </w:rPr>
        <w:t>伙食费包含在报价总价中。</w:t>
      </w:r>
    </w:p>
    <w:p w14:paraId="41576425">
      <w:pPr>
        <w:widowControl/>
        <w:numPr>
          <w:ilvl w:val="1"/>
          <w:numId w:val="26"/>
        </w:numPr>
        <w:shd w:val="clear" w:color="auto" w:fill="auto"/>
        <w:tabs>
          <w:tab w:val="clear" w:pos="680"/>
        </w:tabs>
        <w:spacing w:line="240" w:lineRule="auto"/>
        <w:ind w:left="640" w:hanging="640"/>
        <w:jc w:val="left"/>
        <w:rPr>
          <w:rFonts w:hint="eastAsia" w:ascii="宋体" w:hAnsi="宋体" w:eastAsia="宋体" w:cs="宋体"/>
          <w:color w:val="auto"/>
          <w:sz w:val="21"/>
          <w:szCs w:val="21"/>
          <w:highlight w:val="none"/>
          <w:u w:val="single"/>
          <w:lang w:bidi="ar"/>
        </w:rPr>
      </w:pP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u w:val="single"/>
          <w:lang w:bidi="ar"/>
        </w:rPr>
        <w:t>中标供应商须投保公众责任险，承包期内相关人员在工作期间出现各种人身意外或财产损失的均由中标供应商负责解决处理及赔偿，采购人不再另行承担相关责任风险及赔偿责任。</w:t>
      </w:r>
      <w:r>
        <w:rPr>
          <w:rFonts w:hint="eastAsia" w:ascii="宋体" w:hAnsi="宋体" w:eastAsia="宋体" w:cs="宋体"/>
          <w:b/>
          <w:color w:val="auto"/>
          <w:sz w:val="21"/>
          <w:szCs w:val="21"/>
          <w:highlight w:val="none"/>
          <w:u w:val="single"/>
        </w:rPr>
        <w:t>停车区公众责任险费用，由投标供应商根据各停车区面积及保险公司综合报价，自行投保，投保额度由投标供应商自行综合考虑，该笔费用包含在项目</w:t>
      </w:r>
      <w:r>
        <w:rPr>
          <w:rFonts w:hint="eastAsia" w:ascii="宋体" w:hAnsi="宋体" w:eastAsia="宋体" w:cs="宋体"/>
          <w:b/>
          <w:color w:val="auto"/>
          <w:sz w:val="21"/>
          <w:szCs w:val="21"/>
          <w:highlight w:val="none"/>
          <w:u w:val="single"/>
          <w:lang w:val="en-US" w:eastAsia="zh-CN"/>
        </w:rPr>
        <w:t>最高限价</w:t>
      </w:r>
      <w:r>
        <w:rPr>
          <w:rFonts w:hint="eastAsia" w:ascii="宋体" w:hAnsi="宋体" w:eastAsia="宋体" w:cs="宋体"/>
          <w:b/>
          <w:color w:val="auto"/>
          <w:sz w:val="21"/>
          <w:szCs w:val="21"/>
          <w:highlight w:val="none"/>
          <w:u w:val="single"/>
        </w:rPr>
        <w:t>内，各投标供应商报价，投标报价内必须包含该笔费用。如出现因投保额度不足造成的理赔赔偿金不足的情况，由中标供应商自行承担。</w:t>
      </w:r>
    </w:p>
    <w:p w14:paraId="5901ADF5">
      <w:pPr>
        <w:widowControl/>
        <w:numPr>
          <w:ilvl w:val="1"/>
          <w:numId w:val="26"/>
        </w:numPr>
        <w:shd w:val="clear" w:color="auto" w:fill="auto"/>
        <w:tabs>
          <w:tab w:val="clear" w:pos="680"/>
        </w:tabs>
        <w:spacing w:line="240" w:lineRule="auto"/>
        <w:ind w:left="640" w:hanging="64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u w:val="single"/>
        </w:rPr>
        <w:t>采购人提供的各种设备、设施、工具，供应商应安全、规范使用。除正常使用折旧外，供应商应保证各设备、设施、工具的完好性，如有非正常损坏或遗失，供应商应照价赔偿。</w:t>
      </w:r>
      <w:r>
        <w:rPr>
          <w:rFonts w:hint="eastAsia" w:ascii="宋体" w:hAnsi="宋体" w:eastAsia="宋体" w:cs="宋体"/>
          <w:color w:val="auto"/>
          <w:sz w:val="21"/>
          <w:szCs w:val="21"/>
          <w:highlight w:val="none"/>
          <w:u w:val="single"/>
          <w:lang w:val="en-US" w:eastAsia="zh-CN"/>
        </w:rPr>
        <w:t>其中停车区内价值50元以内的易耗品、单件材料费用及修理费用均由中标供应商负责。</w:t>
      </w:r>
    </w:p>
    <w:p w14:paraId="5677A672">
      <w:pPr>
        <w:widowControl/>
        <w:numPr>
          <w:ilvl w:val="1"/>
          <w:numId w:val="26"/>
        </w:numPr>
        <w:shd w:val="clear" w:color="auto" w:fill="auto"/>
        <w:tabs>
          <w:tab w:val="clear" w:pos="680"/>
        </w:tabs>
        <w:spacing w:line="240" w:lineRule="auto"/>
        <w:ind w:left="640" w:hanging="64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所有人员的服装费用由供应商自行负责配备，分类统一着装。</w:t>
      </w:r>
      <w:r>
        <w:rPr>
          <w:rFonts w:hint="eastAsia" w:ascii="宋体" w:hAnsi="宋体" w:eastAsia="宋体" w:cs="宋体"/>
          <w:color w:val="auto"/>
          <w:sz w:val="21"/>
          <w:szCs w:val="21"/>
          <w:highlight w:val="none"/>
          <w:u w:val="single"/>
        </w:rPr>
        <w:t>中标供应商配置在停车区内的工作人员需统一着装，着装按春秋两季（含上衣、裤子、帽子、鞋子）、夏季（含上衣、裤子、帽子、鞋子）、冬季（含上衣、裤子、帽子、鞋子、冬大衣），外务人员另配一件反光背心，分别按实际采购人所需人员数量，统一配齐。如发生衣物破损、丢失、中标供应商应及时补齐。</w:t>
      </w:r>
    </w:p>
    <w:p w14:paraId="442132FA">
      <w:pPr>
        <w:widowControl/>
        <w:numPr>
          <w:ilvl w:val="1"/>
          <w:numId w:val="26"/>
        </w:numPr>
        <w:shd w:val="clear" w:color="auto" w:fill="auto"/>
        <w:tabs>
          <w:tab w:val="clear" w:pos="680"/>
        </w:tabs>
        <w:spacing w:line="240" w:lineRule="auto"/>
        <w:ind w:left="640" w:hanging="640"/>
        <w:jc w:val="left"/>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供应商根据本项目投入服务人员的实际情况，依法参加社保。因中标供应商未按相关法律、法规缴纳社保而引起的纠纷投诉，其自行承担相关后果，采购人概不负责。</w:t>
      </w:r>
    </w:p>
    <w:p w14:paraId="6C16FC62">
      <w:pPr>
        <w:widowControl/>
        <w:numPr>
          <w:ilvl w:val="1"/>
          <w:numId w:val="26"/>
        </w:numPr>
        <w:shd w:val="clear" w:color="auto" w:fill="auto"/>
        <w:tabs>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供应商的报价应包括为完成本项目服务可能发生的全部费用及供应商的利润和应交纳的税金等,并对合同内容的费用、质量、安全、文明服务等实行全面承包</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u w:val="single"/>
        </w:rPr>
        <w:t>垃圾清运费、</w:t>
      </w:r>
      <w:r>
        <w:rPr>
          <w:rFonts w:hint="eastAsia" w:ascii="宋体" w:hAnsi="宋体" w:eastAsia="宋体" w:cs="宋体"/>
          <w:color w:val="auto"/>
          <w:sz w:val="18"/>
          <w:szCs w:val="18"/>
          <w:highlight w:val="none"/>
          <w:u w:val="single"/>
          <w:lang w:val="en-US" w:eastAsia="zh-CN"/>
        </w:rPr>
        <w:t>环境消杀费用包含在投标报价中，此项费用不单列）</w:t>
      </w:r>
      <w:r>
        <w:rPr>
          <w:rFonts w:hint="eastAsia" w:ascii="宋体" w:hAnsi="宋体" w:eastAsia="宋体" w:cs="宋体"/>
          <w:color w:val="auto"/>
          <w:sz w:val="21"/>
          <w:szCs w:val="21"/>
          <w:highlight w:val="none"/>
        </w:rPr>
        <w:t>。</w:t>
      </w:r>
    </w:p>
    <w:p w14:paraId="52F569FF">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本次采购，在服务期内如因政策性因素调整导致相关人员的工资、社保、节假日、高温补贴出现变化的，该部分费用由中标供应商自行承担，采购人不予以调整该部分费用，各供应商在报价时须综合考虑风险。</w:t>
      </w:r>
    </w:p>
    <w:p w14:paraId="0290BE64">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因承包方管理不善造成采购人损失的，由承包方承担相关损失（包括直接损失、间接损失、律师费、差旅费及其他一切合理支出等），并负责赔偿。</w:t>
      </w:r>
    </w:p>
    <w:p w14:paraId="3855FB8F">
      <w:pPr>
        <w:widowControl/>
        <w:numPr>
          <w:ilvl w:val="0"/>
          <w:numId w:val="26"/>
        </w:numPr>
        <w:shd w:val="clear" w:color="auto" w:fill="auto"/>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本项目服务期限： </w:t>
      </w:r>
    </w:p>
    <w:p w14:paraId="25792647">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本次服务期限为1年，采用“1+1”模式，合同一年一签。</w:t>
      </w:r>
    </w:p>
    <w:p w14:paraId="63BD0382">
      <w:pPr>
        <w:widowControl/>
        <w:numPr>
          <w:ilvl w:val="1"/>
          <w:numId w:val="26"/>
        </w:numPr>
        <w:shd w:val="clear" w:color="auto" w:fill="auto"/>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合同执行约束见文件附件：停车区物业管理考核办法，见</w:t>
      </w:r>
      <w:r>
        <w:rPr>
          <w:rFonts w:hint="eastAsia" w:ascii="宋体" w:hAnsi="宋体" w:eastAsia="宋体" w:cs="宋体"/>
          <w:b/>
          <w:bCs/>
          <w:color w:val="auto"/>
          <w:sz w:val="21"/>
          <w:szCs w:val="21"/>
          <w:highlight w:val="none"/>
        </w:rPr>
        <w:t>考核评分细则，评分</w:t>
      </w:r>
      <w:r>
        <w:rPr>
          <w:rFonts w:hint="eastAsia" w:ascii="宋体" w:hAnsi="宋体" w:eastAsia="宋体" w:cs="宋体"/>
          <w:b/>
          <w:color w:val="auto"/>
          <w:sz w:val="21"/>
          <w:szCs w:val="21"/>
          <w:highlight w:val="none"/>
        </w:rPr>
        <w:t>细则采购人有权根据实际服务内容、情况进行调整。</w:t>
      </w:r>
    </w:p>
    <w:p w14:paraId="1F799630">
      <w:pPr>
        <w:widowControl/>
        <w:numPr>
          <w:ilvl w:val="0"/>
          <w:numId w:val="26"/>
        </w:numPr>
        <w:shd w:val="clear" w:color="auto" w:fill="auto"/>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w:t>
      </w:r>
      <w:r>
        <w:rPr>
          <w:rFonts w:hint="eastAsia" w:ascii="宋体" w:hAnsi="宋体" w:eastAsia="宋体" w:cs="宋体"/>
          <w:b/>
          <w:bCs/>
          <w:color w:val="auto"/>
          <w:sz w:val="21"/>
          <w:szCs w:val="21"/>
          <w:highlight w:val="none"/>
        </w:rPr>
        <w:t>详见合同条款。</w:t>
      </w:r>
    </w:p>
    <w:p w14:paraId="7172D12E">
      <w:pPr>
        <w:widowControl/>
        <w:numPr>
          <w:ilvl w:val="0"/>
          <w:numId w:val="0"/>
        </w:numPr>
        <w:tabs>
          <w:tab w:val="left" w:pos="640"/>
        </w:tabs>
        <w:spacing w:line="240" w:lineRule="auto"/>
        <w:ind w:leftChars="0"/>
        <w:jc w:val="left"/>
        <w:rPr>
          <w:rFonts w:hint="eastAsia" w:ascii="宋体" w:hAnsi="宋体" w:eastAsia="宋体" w:cs="宋体"/>
          <w:b/>
          <w:bCs/>
          <w:highlight w:val="none"/>
        </w:rPr>
      </w:pPr>
    </w:p>
    <w:bookmarkEnd w:id="202"/>
    <w:bookmarkEnd w:id="203"/>
    <w:bookmarkEnd w:id="204"/>
    <w:bookmarkEnd w:id="205"/>
    <w:p w14:paraId="64363C3A">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B5EBB21">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0B1F95F">
      <w:pPr>
        <w:jc w:val="center"/>
        <w:rPr>
          <w:rFonts w:hint="eastAsia" w:ascii="宋体" w:hAnsi="宋体" w:eastAsia="宋体" w:cs="宋体"/>
          <w:color w:val="auto"/>
          <w:sz w:val="22"/>
          <w:highlight w:val="none"/>
        </w:rPr>
      </w:pPr>
    </w:p>
    <w:p w14:paraId="0D703A1E">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w:t>
      </w:r>
      <w:r>
        <w:rPr>
          <w:rFonts w:hint="eastAsia" w:ascii="宋体" w:hAnsi="宋体" w:eastAsia="宋体" w:cs="宋体"/>
          <w:color w:val="auto"/>
          <w:sz w:val="22"/>
          <w:highlight w:val="none"/>
          <w:lang w:eastAsia="zh-CN"/>
        </w:rPr>
        <w:t>《温州市市属国有企业采购管理办法》（温国资委〔2024〕第51号）</w:t>
      </w:r>
      <w:r>
        <w:rPr>
          <w:rFonts w:hint="eastAsia" w:ascii="宋体" w:hAnsi="宋体" w:eastAsia="宋体" w:cs="宋体"/>
          <w:color w:val="auto"/>
          <w:sz w:val="22"/>
          <w:highlight w:val="none"/>
        </w:rPr>
        <w:t>等有关法规、规定，结合本项目的实际，按照公平、公正、科学、择优的原则选择中标单位，特制定本评标办法。</w:t>
      </w:r>
    </w:p>
    <w:p w14:paraId="03CA78E7">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14:paraId="52DCE9E9">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14:paraId="239BE01A">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14:paraId="5DEF7AED">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14:paraId="5F8339E8">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14:paraId="67E9842C">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14:paraId="458942B4">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14:paraId="79E4F506">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color w:val="auto"/>
          <w:kern w:val="0"/>
          <w:sz w:val="22"/>
          <w:highlight w:val="none"/>
        </w:rPr>
        <w:t>2、先熟悉采购文件和评</w:t>
      </w:r>
      <w:r>
        <w:rPr>
          <w:rFonts w:hint="eastAsia" w:ascii="宋体" w:hAnsi="宋体" w:eastAsia="宋体" w:cs="宋体"/>
          <w:snapToGrid w:val="0"/>
          <w:kern w:val="0"/>
          <w:sz w:val="22"/>
          <w:highlight w:val="none"/>
        </w:rPr>
        <w:t>标办法。</w:t>
      </w:r>
    </w:p>
    <w:p w14:paraId="6CE9B02F">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14:paraId="1F5483DB">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14:paraId="475CC9AF">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14:paraId="4A3D764D">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14:paraId="1A0E5DB5">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14:paraId="3A651487">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14:paraId="2A917E41">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14:paraId="4DE5A75B">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p>
    <w:p w14:paraId="0BCDA8ED">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14:paraId="7D70F2F6">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14:paraId="6BC3A323">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5、比较与评价：评标委员会按采购文件中规定的评标方法和标准，对初审检查合格的投标文件进行商务（报价）和技术资信评估、综合比较与评价，并按照评标细则进行打分。</w:t>
      </w:r>
    </w:p>
    <w:p w14:paraId="7FC50A8D">
      <w:pPr>
        <w:adjustRightInd w:val="0"/>
        <w:snapToGrid w:val="0"/>
        <w:ind w:firstLine="440" w:firstLineChars="200"/>
        <w:rPr>
          <w:rFonts w:hint="eastAsia" w:ascii="宋体" w:hAnsi="宋体" w:eastAsia="宋体" w:cs="宋体"/>
          <w:szCs w:val="24"/>
          <w:highlight w:val="none"/>
        </w:rPr>
      </w:pPr>
      <w:r>
        <w:rPr>
          <w:rFonts w:hint="eastAsia" w:ascii="宋体" w:hAnsi="宋体" w:eastAsia="宋体" w:cs="宋体"/>
          <w:snapToGrid w:val="0"/>
          <w:kern w:val="0"/>
          <w:sz w:val="22"/>
          <w:highlight w:val="none"/>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在所有得分均相同者中随机抽取其中一名为名次优先者）。</w:t>
      </w:r>
    </w:p>
    <w:p w14:paraId="620C1289">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14:paraId="51D2039B">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14:paraId="08BFAAF0">
      <w:pPr>
        <w:ind w:firstLine="440" w:firstLineChars="200"/>
        <w:rPr>
          <w:rFonts w:hint="eastAsia" w:ascii="宋体" w:hAnsi="宋体" w:eastAsia="宋体" w:cs="宋体"/>
          <w:sz w:val="22"/>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w:t>
      </w:r>
      <w:r>
        <w:rPr>
          <w:rFonts w:hint="eastAsia" w:ascii="宋体" w:hAnsi="宋体" w:eastAsia="宋体" w:cs="宋体"/>
          <w:sz w:val="22"/>
          <w:szCs w:val="24"/>
          <w:highlight w:val="none"/>
          <w:lang w:val="en-US" w:eastAsia="zh-CN"/>
        </w:rPr>
        <w:t>85</w:t>
      </w:r>
      <w:r>
        <w:rPr>
          <w:rFonts w:hint="eastAsia" w:ascii="宋体" w:hAnsi="宋体" w:eastAsia="宋体" w:cs="宋体"/>
          <w:sz w:val="22"/>
          <w:szCs w:val="24"/>
          <w:highlight w:val="none"/>
        </w:rPr>
        <w:t>分，商务（报价）分</w:t>
      </w:r>
      <w:r>
        <w:rPr>
          <w:rFonts w:hint="eastAsia" w:ascii="宋体" w:hAnsi="宋体" w:eastAsia="宋体" w:cs="宋体"/>
          <w:sz w:val="22"/>
          <w:szCs w:val="24"/>
          <w:highlight w:val="none"/>
          <w:lang w:val="en-US" w:eastAsia="zh-CN"/>
        </w:rPr>
        <w:t>15</w:t>
      </w:r>
      <w:r>
        <w:rPr>
          <w:rFonts w:hint="eastAsia" w:ascii="宋体" w:hAnsi="宋体" w:eastAsia="宋体" w:cs="宋体"/>
          <w:sz w:val="22"/>
          <w:szCs w:val="24"/>
          <w:highlight w:val="none"/>
        </w:rPr>
        <w:t>分。</w:t>
      </w:r>
    </w:p>
    <w:p w14:paraId="6F4A592D">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14:paraId="305BAD55">
      <w:pPr>
        <w:adjustRightInd w:val="0"/>
        <w:snapToGrid w:val="0"/>
        <w:rPr>
          <w:rFonts w:hint="eastAsia" w:ascii="宋体" w:hAnsi="宋体" w:eastAsia="宋体" w:cs="宋体"/>
          <w:b/>
          <w:bCs/>
          <w:color w:val="auto"/>
          <w:sz w:val="22"/>
          <w:highlight w:val="none"/>
        </w:rPr>
      </w:pPr>
      <w:r>
        <w:rPr>
          <w:rFonts w:hint="eastAsia" w:ascii="宋体" w:hAnsi="宋体" w:eastAsia="宋体" w:cs="宋体"/>
          <w:b/>
          <w:bCs/>
          <w:sz w:val="22"/>
          <w:highlight w:val="none"/>
        </w:rPr>
        <w:t>1、技术资信评审分值（</w:t>
      </w:r>
      <w:r>
        <w:rPr>
          <w:rFonts w:hint="eastAsia" w:ascii="宋体" w:hAnsi="宋体" w:eastAsia="宋体" w:cs="宋体"/>
          <w:b/>
          <w:bCs/>
          <w:sz w:val="22"/>
          <w:highlight w:val="none"/>
          <w:lang w:val="en-US" w:eastAsia="zh-CN"/>
        </w:rPr>
        <w:t>85</w:t>
      </w:r>
      <w:r>
        <w:rPr>
          <w:rFonts w:hint="eastAsia" w:ascii="宋体" w:hAnsi="宋体" w:eastAsia="宋体" w:cs="宋体"/>
          <w:b/>
          <w:bCs/>
          <w:color w:val="auto"/>
          <w:sz w:val="22"/>
          <w:highlight w:val="none"/>
        </w:rPr>
        <w:t>分）</w:t>
      </w:r>
    </w:p>
    <w:p w14:paraId="7F7BA0D9">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4"/>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853"/>
        <w:gridCol w:w="1271"/>
        <w:gridCol w:w="664"/>
        <w:gridCol w:w="5807"/>
      </w:tblGrid>
      <w:tr w14:paraId="4B49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06033909">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2A4256CB">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评分内容</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5A923BB4">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满</w:t>
            </w:r>
            <w:r>
              <w:rPr>
                <w:rFonts w:hint="eastAsia" w:ascii="宋体" w:hAnsi="宋体" w:eastAsia="宋体" w:cs="宋体"/>
                <w:color w:val="auto"/>
                <w:sz w:val="18"/>
                <w:szCs w:val="18"/>
                <w:highlight w:val="none"/>
              </w:rPr>
              <w:t>分值</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3BD6DA20">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评分要点及说明</w:t>
            </w:r>
          </w:p>
        </w:tc>
      </w:tr>
      <w:tr w14:paraId="16D0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vMerge w:val="restart"/>
            <w:tcBorders>
              <w:top w:val="single" w:color="auto" w:sz="4" w:space="0"/>
              <w:left w:val="single" w:color="auto" w:sz="4" w:space="0"/>
              <w:right w:val="single" w:color="auto" w:sz="4" w:space="0"/>
            </w:tcBorders>
            <w:noWrap w:val="0"/>
            <w:vAlign w:val="center"/>
          </w:tcPr>
          <w:p w14:paraId="14C2A0A0">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853" w:type="dxa"/>
            <w:vMerge w:val="restart"/>
            <w:tcBorders>
              <w:top w:val="single" w:color="auto" w:sz="4" w:space="0"/>
              <w:left w:val="single" w:color="auto" w:sz="4" w:space="0"/>
              <w:right w:val="single" w:color="auto" w:sz="4" w:space="0"/>
            </w:tcBorders>
            <w:noWrap w:val="0"/>
            <w:vAlign w:val="center"/>
          </w:tcPr>
          <w:p w14:paraId="7E26909C">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投标供应商综合实力</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20DF6B01">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投标供应商认证情况</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4F71E0DF">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3FE0E020">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1）</w:t>
            </w:r>
            <w:r>
              <w:rPr>
                <w:rFonts w:hint="eastAsia" w:ascii="宋体" w:hAnsi="宋体" w:eastAsia="宋体" w:cs="宋体"/>
                <w:snapToGrid w:val="0"/>
                <w:color w:val="auto"/>
                <w:sz w:val="18"/>
                <w:szCs w:val="18"/>
                <w:highlight w:val="none"/>
                <w:lang w:val="en-US" w:eastAsia="zh-CN"/>
              </w:rPr>
              <w:t>具有</w:t>
            </w:r>
            <w:r>
              <w:rPr>
                <w:rFonts w:hint="eastAsia" w:ascii="宋体" w:hAnsi="宋体" w:eastAsia="宋体" w:cs="宋体"/>
                <w:snapToGrid w:val="0"/>
                <w:color w:val="auto"/>
                <w:sz w:val="18"/>
                <w:szCs w:val="18"/>
                <w:highlight w:val="none"/>
              </w:rPr>
              <w:t>有效</w:t>
            </w:r>
            <w:r>
              <w:rPr>
                <w:rFonts w:hint="eastAsia" w:ascii="宋体" w:hAnsi="宋体" w:eastAsia="宋体" w:cs="宋体"/>
                <w:snapToGrid w:val="0"/>
                <w:color w:val="auto"/>
                <w:sz w:val="18"/>
                <w:szCs w:val="18"/>
                <w:highlight w:val="none"/>
                <w:lang w:val="en-US" w:eastAsia="zh-CN"/>
              </w:rPr>
              <w:t>的</w:t>
            </w:r>
            <w:r>
              <w:rPr>
                <w:rFonts w:hint="eastAsia" w:ascii="宋体" w:hAnsi="宋体" w:eastAsia="宋体" w:cs="宋体"/>
                <w:snapToGrid w:val="0"/>
                <w:color w:val="auto"/>
                <w:sz w:val="18"/>
                <w:szCs w:val="18"/>
                <w:highlight w:val="none"/>
              </w:rPr>
              <w:t>质量管理体系认证证书得1分；</w:t>
            </w:r>
          </w:p>
          <w:p w14:paraId="230F966A">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2）</w:t>
            </w:r>
            <w:r>
              <w:rPr>
                <w:rFonts w:hint="eastAsia" w:ascii="宋体" w:hAnsi="宋体" w:eastAsia="宋体" w:cs="宋体"/>
                <w:snapToGrid w:val="0"/>
                <w:color w:val="auto"/>
                <w:sz w:val="18"/>
                <w:szCs w:val="18"/>
                <w:highlight w:val="none"/>
                <w:lang w:val="en-US" w:eastAsia="zh-CN"/>
              </w:rPr>
              <w:t>具有</w:t>
            </w:r>
            <w:r>
              <w:rPr>
                <w:rFonts w:hint="eastAsia" w:ascii="宋体" w:hAnsi="宋体" w:eastAsia="宋体" w:cs="宋体"/>
                <w:snapToGrid w:val="0"/>
                <w:color w:val="auto"/>
                <w:sz w:val="18"/>
                <w:szCs w:val="18"/>
                <w:highlight w:val="none"/>
              </w:rPr>
              <w:t>有效</w:t>
            </w:r>
            <w:r>
              <w:rPr>
                <w:rFonts w:hint="eastAsia" w:ascii="宋体" w:hAnsi="宋体" w:eastAsia="宋体" w:cs="宋体"/>
                <w:snapToGrid w:val="0"/>
                <w:color w:val="auto"/>
                <w:sz w:val="18"/>
                <w:szCs w:val="18"/>
                <w:highlight w:val="none"/>
                <w:lang w:val="en-US" w:eastAsia="zh-CN"/>
              </w:rPr>
              <w:t>的</w:t>
            </w:r>
            <w:r>
              <w:rPr>
                <w:rFonts w:hint="eastAsia" w:ascii="宋体" w:hAnsi="宋体" w:eastAsia="宋体" w:cs="宋体"/>
                <w:snapToGrid w:val="0"/>
                <w:color w:val="auto"/>
                <w:sz w:val="18"/>
                <w:szCs w:val="18"/>
                <w:highlight w:val="none"/>
              </w:rPr>
              <w:t>环境体系认证证书得1分；</w:t>
            </w:r>
          </w:p>
          <w:p w14:paraId="7B966673">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3）</w:t>
            </w:r>
            <w:r>
              <w:rPr>
                <w:rFonts w:hint="eastAsia" w:ascii="宋体" w:hAnsi="宋体" w:eastAsia="宋体" w:cs="宋体"/>
                <w:snapToGrid w:val="0"/>
                <w:color w:val="auto"/>
                <w:sz w:val="18"/>
                <w:szCs w:val="18"/>
                <w:highlight w:val="none"/>
                <w:lang w:val="en-US" w:eastAsia="zh-CN"/>
              </w:rPr>
              <w:t>具有</w:t>
            </w:r>
            <w:r>
              <w:rPr>
                <w:rFonts w:hint="eastAsia" w:ascii="宋体" w:hAnsi="宋体" w:eastAsia="宋体" w:cs="宋体"/>
                <w:snapToGrid w:val="0"/>
                <w:color w:val="auto"/>
                <w:sz w:val="18"/>
                <w:szCs w:val="18"/>
                <w:highlight w:val="none"/>
              </w:rPr>
              <w:t>有效</w:t>
            </w:r>
            <w:r>
              <w:rPr>
                <w:rFonts w:hint="eastAsia" w:ascii="宋体" w:hAnsi="宋体" w:eastAsia="宋体" w:cs="宋体"/>
                <w:snapToGrid w:val="0"/>
                <w:color w:val="auto"/>
                <w:sz w:val="18"/>
                <w:szCs w:val="18"/>
                <w:highlight w:val="none"/>
                <w:lang w:val="en-US" w:eastAsia="zh-CN"/>
              </w:rPr>
              <w:t>的</w:t>
            </w:r>
            <w:r>
              <w:rPr>
                <w:rFonts w:hint="eastAsia" w:ascii="宋体" w:hAnsi="宋体" w:eastAsia="宋体" w:cs="宋体"/>
                <w:snapToGrid w:val="0"/>
                <w:color w:val="auto"/>
                <w:sz w:val="18"/>
                <w:szCs w:val="18"/>
                <w:highlight w:val="none"/>
              </w:rPr>
              <w:t>职业健康安全体系认证证书得1分。</w:t>
            </w:r>
          </w:p>
          <w:p w14:paraId="6DB78E21">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color w:val="auto"/>
                <w:sz w:val="18"/>
                <w:szCs w:val="18"/>
                <w:highlight w:val="none"/>
              </w:rPr>
            </w:pPr>
            <w:r>
              <w:rPr>
                <w:rFonts w:hint="eastAsia" w:ascii="宋体" w:hAnsi="宋体" w:eastAsia="宋体" w:cs="宋体"/>
                <w:b/>
                <w:bCs/>
                <w:snapToGrid w:val="0"/>
                <w:color w:val="auto"/>
                <w:sz w:val="18"/>
                <w:szCs w:val="18"/>
                <w:highlight w:val="none"/>
              </w:rPr>
              <w:t>注：须提供</w:t>
            </w:r>
            <w:r>
              <w:rPr>
                <w:rFonts w:hint="eastAsia" w:ascii="宋体" w:hAnsi="宋体" w:eastAsia="宋体" w:cs="宋体"/>
                <w:b/>
                <w:bCs/>
                <w:snapToGrid w:val="0"/>
                <w:color w:val="auto"/>
                <w:sz w:val="18"/>
                <w:szCs w:val="18"/>
                <w:highlight w:val="none"/>
                <w:lang w:val="en-US" w:eastAsia="zh-CN"/>
              </w:rPr>
              <w:t>证书</w:t>
            </w:r>
            <w:r>
              <w:rPr>
                <w:rFonts w:hint="eastAsia" w:ascii="宋体" w:hAnsi="宋体" w:eastAsia="宋体" w:cs="宋体"/>
                <w:b/>
                <w:bCs/>
                <w:snapToGrid w:val="0"/>
                <w:color w:val="auto"/>
                <w:sz w:val="18"/>
                <w:szCs w:val="18"/>
                <w:highlight w:val="none"/>
              </w:rPr>
              <w:t>复印件</w:t>
            </w:r>
            <w:r>
              <w:rPr>
                <w:rFonts w:hint="eastAsia" w:ascii="宋体" w:hAnsi="宋体" w:eastAsia="宋体" w:cs="宋体"/>
                <w:b/>
                <w:bCs/>
                <w:snapToGrid w:val="0"/>
                <w:color w:val="auto"/>
                <w:sz w:val="18"/>
                <w:szCs w:val="18"/>
                <w:highlight w:val="none"/>
                <w:lang w:val="en-US" w:eastAsia="zh-CN"/>
              </w:rPr>
              <w:t>和官网查询截图</w:t>
            </w:r>
            <w:r>
              <w:rPr>
                <w:rFonts w:hint="eastAsia" w:ascii="宋体" w:hAnsi="宋体" w:eastAsia="宋体" w:cs="宋体"/>
                <w:b/>
                <w:bCs/>
                <w:snapToGrid w:val="0"/>
                <w:color w:val="auto"/>
                <w:sz w:val="18"/>
                <w:szCs w:val="18"/>
                <w:highlight w:val="none"/>
              </w:rPr>
              <w:t>加盖单位</w:t>
            </w:r>
            <w:r>
              <w:rPr>
                <w:rFonts w:hint="eastAsia" w:ascii="宋体" w:hAnsi="宋体" w:eastAsia="宋体" w:cs="宋体"/>
                <w:b/>
                <w:bCs/>
                <w:snapToGrid w:val="0"/>
                <w:color w:val="auto"/>
                <w:sz w:val="18"/>
                <w:szCs w:val="18"/>
                <w:highlight w:val="none"/>
                <w:lang w:val="en-US" w:eastAsia="zh-CN"/>
              </w:rPr>
              <w:t>公</w:t>
            </w:r>
            <w:r>
              <w:rPr>
                <w:rFonts w:hint="eastAsia" w:ascii="宋体" w:hAnsi="宋体" w:eastAsia="宋体" w:cs="宋体"/>
                <w:b/>
                <w:bCs/>
                <w:snapToGrid w:val="0"/>
                <w:color w:val="auto"/>
                <w:sz w:val="18"/>
                <w:szCs w:val="18"/>
                <w:highlight w:val="none"/>
              </w:rPr>
              <w:t>章。</w:t>
            </w:r>
          </w:p>
        </w:tc>
      </w:tr>
      <w:tr w14:paraId="2E23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vMerge w:val="continue"/>
            <w:tcBorders>
              <w:left w:val="single" w:color="auto" w:sz="4" w:space="0"/>
              <w:right w:val="single" w:color="auto" w:sz="4" w:space="0"/>
            </w:tcBorders>
            <w:noWrap w:val="0"/>
            <w:vAlign w:val="center"/>
          </w:tcPr>
          <w:p w14:paraId="09AF62DF">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p>
        </w:tc>
        <w:tc>
          <w:tcPr>
            <w:tcW w:w="853" w:type="dxa"/>
            <w:vMerge w:val="continue"/>
            <w:tcBorders>
              <w:left w:val="single" w:color="auto" w:sz="4" w:space="0"/>
              <w:right w:val="single" w:color="auto" w:sz="4" w:space="0"/>
            </w:tcBorders>
            <w:noWrap w:val="0"/>
            <w:vAlign w:val="center"/>
          </w:tcPr>
          <w:p w14:paraId="7D825035">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p>
        </w:tc>
        <w:tc>
          <w:tcPr>
            <w:tcW w:w="12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6D9CCB">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投标供应商获得荣誉</w:t>
            </w:r>
          </w:p>
        </w:tc>
        <w:tc>
          <w:tcPr>
            <w:tcW w:w="6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0EBE6">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w:t>
            </w:r>
          </w:p>
        </w:tc>
        <w:tc>
          <w:tcPr>
            <w:tcW w:w="58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8561A5">
            <w:pPr>
              <w:adjustRightInd w:val="0"/>
              <w:snapToGrid w:val="0"/>
              <w:spacing w:line="240" w:lineRule="auto"/>
              <w:rPr>
                <w:rFonts w:hint="eastAsia" w:ascii="宋体" w:hAnsi="宋体" w:eastAsia="宋体" w:cs="宋体"/>
                <w:snapToGrid w:val="0"/>
                <w:color w:val="0000FF"/>
                <w:kern w:val="0"/>
                <w:sz w:val="18"/>
                <w:szCs w:val="18"/>
                <w:highlight w:val="none"/>
                <w:lang w:eastAsia="zh-CN"/>
              </w:rPr>
            </w:pPr>
            <w:r>
              <w:rPr>
                <w:rFonts w:hint="eastAsia" w:ascii="宋体" w:hAnsi="宋体" w:eastAsia="宋体" w:cs="宋体"/>
                <w:snapToGrid w:val="0"/>
                <w:color w:val="0000FF"/>
                <w:kern w:val="0"/>
                <w:sz w:val="18"/>
                <w:szCs w:val="18"/>
                <w:highlight w:val="none"/>
                <w:lang w:val="en-US" w:eastAsia="zh-CN"/>
              </w:rPr>
              <w:t>投标人</w:t>
            </w:r>
            <w:r>
              <w:rPr>
                <w:rFonts w:hint="eastAsia" w:ascii="宋体" w:hAnsi="宋体" w:eastAsia="宋体" w:cs="宋体"/>
                <w:snapToGrid w:val="0"/>
                <w:color w:val="0000FF"/>
                <w:kern w:val="0"/>
                <w:sz w:val="18"/>
                <w:szCs w:val="18"/>
                <w:highlight w:val="none"/>
              </w:rPr>
              <w:t>企业获得区级（含区级）以上人民政府或部门颁发的各种荣誉的</w:t>
            </w:r>
            <w:r>
              <w:rPr>
                <w:rFonts w:hint="eastAsia" w:ascii="宋体" w:hAnsi="宋体" w:eastAsia="宋体" w:cs="宋体"/>
                <w:snapToGrid w:val="0"/>
                <w:color w:val="0000FF"/>
                <w:kern w:val="0"/>
                <w:sz w:val="18"/>
                <w:szCs w:val="18"/>
                <w:highlight w:val="none"/>
                <w:lang w:eastAsia="zh-CN"/>
              </w:rPr>
              <w:t>1</w:t>
            </w:r>
            <w:r>
              <w:rPr>
                <w:rFonts w:hint="eastAsia" w:ascii="宋体" w:hAnsi="宋体" w:eastAsia="宋体" w:cs="宋体"/>
                <w:snapToGrid w:val="0"/>
                <w:color w:val="0000FF"/>
                <w:kern w:val="0"/>
                <w:sz w:val="18"/>
                <w:szCs w:val="18"/>
                <w:highlight w:val="none"/>
              </w:rPr>
              <w:t>分/个，最高</w:t>
            </w:r>
            <w:r>
              <w:rPr>
                <w:rFonts w:hint="eastAsia" w:ascii="宋体" w:hAnsi="宋体" w:eastAsia="宋体" w:cs="宋体"/>
                <w:snapToGrid w:val="0"/>
                <w:color w:val="0000FF"/>
                <w:kern w:val="0"/>
                <w:sz w:val="18"/>
                <w:szCs w:val="18"/>
                <w:highlight w:val="none"/>
                <w:lang w:val="en-US" w:eastAsia="zh-CN"/>
              </w:rPr>
              <w:t>3</w:t>
            </w:r>
            <w:r>
              <w:rPr>
                <w:rFonts w:hint="eastAsia" w:ascii="宋体" w:hAnsi="宋体" w:eastAsia="宋体" w:cs="宋体"/>
                <w:snapToGrid w:val="0"/>
                <w:color w:val="0000FF"/>
                <w:kern w:val="0"/>
                <w:sz w:val="18"/>
                <w:szCs w:val="18"/>
                <w:highlight w:val="none"/>
              </w:rPr>
              <w:t>分（管理项目荣誉不计，同类荣誉不累计计分）</w:t>
            </w:r>
            <w:r>
              <w:rPr>
                <w:rFonts w:hint="eastAsia" w:ascii="宋体" w:hAnsi="宋体" w:eastAsia="宋体" w:cs="宋体"/>
                <w:snapToGrid w:val="0"/>
                <w:color w:val="0000FF"/>
                <w:kern w:val="0"/>
                <w:sz w:val="18"/>
                <w:szCs w:val="18"/>
                <w:highlight w:val="none"/>
                <w:lang w:eastAsia="zh-CN"/>
              </w:rPr>
              <w:t>。</w:t>
            </w:r>
          </w:p>
          <w:p w14:paraId="77A51396">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0000FF"/>
                <w:kern w:val="2"/>
                <w:sz w:val="18"/>
                <w:szCs w:val="18"/>
                <w:highlight w:val="none"/>
                <w:lang w:val="en-US" w:eastAsia="zh-CN" w:bidi="ar-SA"/>
              </w:rPr>
            </w:pPr>
            <w:r>
              <w:rPr>
                <w:rFonts w:hint="eastAsia" w:ascii="宋体" w:hAnsi="宋体" w:eastAsia="宋体" w:cs="宋体"/>
                <w:color w:val="0000FF"/>
                <w:kern w:val="0"/>
                <w:sz w:val="18"/>
                <w:szCs w:val="18"/>
                <w:highlight w:val="none"/>
                <w:lang w:val="en-US" w:eastAsia="zh-CN"/>
              </w:rPr>
              <w:t>须提供有效证明文件复印件加盖单位盖章，没有的不得分</w:t>
            </w:r>
            <w:r>
              <w:rPr>
                <w:rFonts w:hint="eastAsia" w:ascii="宋体" w:hAnsi="宋体" w:eastAsia="宋体" w:cs="宋体"/>
                <w:color w:val="0000FF"/>
                <w:kern w:val="0"/>
                <w:sz w:val="18"/>
                <w:szCs w:val="18"/>
                <w:highlight w:val="none"/>
                <w:lang w:eastAsia="zh-CN"/>
              </w:rPr>
              <w:t>。</w:t>
            </w:r>
          </w:p>
        </w:tc>
      </w:tr>
      <w:tr w14:paraId="04FA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91" w:type="dxa"/>
            <w:vMerge w:val="continue"/>
            <w:tcBorders>
              <w:left w:val="single" w:color="auto" w:sz="4" w:space="0"/>
              <w:right w:val="single" w:color="auto" w:sz="4" w:space="0"/>
            </w:tcBorders>
            <w:noWrap w:val="0"/>
            <w:vAlign w:val="center"/>
          </w:tcPr>
          <w:p w14:paraId="3AC5E6C0">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p>
        </w:tc>
        <w:tc>
          <w:tcPr>
            <w:tcW w:w="853" w:type="dxa"/>
            <w:vMerge w:val="continue"/>
            <w:tcBorders>
              <w:left w:val="single" w:color="auto" w:sz="4" w:space="0"/>
              <w:right w:val="single" w:color="auto" w:sz="4" w:space="0"/>
            </w:tcBorders>
            <w:noWrap w:val="0"/>
            <w:vAlign w:val="center"/>
          </w:tcPr>
          <w:p w14:paraId="63C9D257">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p>
        </w:tc>
        <w:tc>
          <w:tcPr>
            <w:tcW w:w="1271" w:type="dxa"/>
            <w:tcBorders>
              <w:top w:val="single" w:color="auto" w:sz="4" w:space="0"/>
              <w:left w:val="single" w:color="auto" w:sz="4" w:space="0"/>
              <w:right w:val="single" w:color="auto" w:sz="4" w:space="0"/>
            </w:tcBorders>
            <w:shd w:val="clear" w:color="auto" w:fill="auto"/>
            <w:noWrap w:val="0"/>
            <w:vAlign w:val="center"/>
          </w:tcPr>
          <w:p w14:paraId="76812B9B">
            <w:pPr>
              <w:adjustRightInd w:val="0"/>
              <w:snapToGrid w:val="0"/>
              <w:spacing w:line="240" w:lineRule="auto"/>
              <w:ind w:left="-34" w:left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投标人</w:t>
            </w:r>
            <w:r>
              <w:rPr>
                <w:rFonts w:hint="eastAsia" w:ascii="宋体" w:hAnsi="宋体" w:eastAsia="宋体" w:cs="宋体"/>
                <w:color w:val="auto"/>
                <w:kern w:val="0"/>
                <w:sz w:val="18"/>
                <w:szCs w:val="18"/>
                <w:highlight w:val="none"/>
              </w:rPr>
              <w:t>项目获奖情况</w:t>
            </w:r>
          </w:p>
        </w:tc>
        <w:tc>
          <w:tcPr>
            <w:tcW w:w="664" w:type="dxa"/>
            <w:tcBorders>
              <w:top w:val="single" w:color="auto" w:sz="4" w:space="0"/>
              <w:left w:val="single" w:color="auto" w:sz="4" w:space="0"/>
              <w:right w:val="single" w:color="auto" w:sz="4" w:space="0"/>
            </w:tcBorders>
            <w:shd w:val="clear" w:color="auto" w:fill="auto"/>
            <w:noWrap w:val="0"/>
            <w:vAlign w:val="center"/>
          </w:tcPr>
          <w:p w14:paraId="29623B58">
            <w:pPr>
              <w:adjustRightInd w:val="0"/>
              <w:snapToGrid w:val="0"/>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w:t>
            </w:r>
          </w:p>
        </w:tc>
        <w:tc>
          <w:tcPr>
            <w:tcW w:w="5807" w:type="dxa"/>
            <w:tcBorders>
              <w:top w:val="single" w:color="auto" w:sz="4" w:space="0"/>
              <w:left w:val="single" w:color="auto" w:sz="4" w:space="0"/>
              <w:right w:val="single" w:color="auto" w:sz="4" w:space="0"/>
            </w:tcBorders>
            <w:shd w:val="clear" w:color="auto" w:fill="auto"/>
            <w:noWrap w:val="0"/>
            <w:vAlign w:val="center"/>
          </w:tcPr>
          <w:p w14:paraId="751F1BC5">
            <w:pPr>
              <w:adjustRightInd w:val="0"/>
              <w:snapToGrid w:val="0"/>
              <w:spacing w:line="240" w:lineRule="auto"/>
              <w:rPr>
                <w:rFonts w:hint="eastAsia" w:ascii="宋体" w:hAnsi="宋体" w:eastAsia="宋体" w:cs="宋体"/>
                <w:color w:val="0000FF"/>
                <w:kern w:val="0"/>
                <w:sz w:val="18"/>
                <w:szCs w:val="18"/>
                <w:highlight w:val="none"/>
              </w:rPr>
            </w:pPr>
            <w:r>
              <w:rPr>
                <w:rFonts w:hint="eastAsia" w:ascii="宋体" w:hAnsi="宋体" w:eastAsia="宋体" w:cs="宋体"/>
                <w:color w:val="0000FF"/>
                <w:kern w:val="0"/>
                <w:sz w:val="18"/>
                <w:szCs w:val="18"/>
                <w:highlight w:val="none"/>
                <w:lang w:val="en-US" w:eastAsia="zh-CN"/>
              </w:rPr>
              <w:t>投标人</w:t>
            </w:r>
            <w:r>
              <w:rPr>
                <w:rFonts w:hint="eastAsia" w:ascii="宋体" w:hAnsi="宋体" w:eastAsia="宋体" w:cs="宋体"/>
                <w:color w:val="0000FF"/>
                <w:kern w:val="0"/>
                <w:sz w:val="18"/>
                <w:szCs w:val="18"/>
                <w:highlight w:val="none"/>
              </w:rPr>
              <w:t>公共场所项目获部级物业管理示范项目或复评通过的，得3分；获省示范或复评通过的，得2分，获市示范或复评通过的，得1分。</w:t>
            </w:r>
          </w:p>
          <w:p w14:paraId="7A2A27BE">
            <w:pPr>
              <w:adjustRightInd w:val="0"/>
              <w:snapToGrid w:val="0"/>
              <w:spacing w:line="240" w:lineRule="auto"/>
              <w:rPr>
                <w:rFonts w:hint="eastAsia" w:ascii="宋体" w:hAnsi="宋体" w:eastAsia="宋体" w:cs="宋体"/>
                <w:color w:val="0000FF"/>
                <w:kern w:val="0"/>
                <w:sz w:val="18"/>
                <w:szCs w:val="18"/>
                <w:highlight w:val="none"/>
                <w:lang w:val="en-US" w:eastAsia="zh-CN" w:bidi="ar-SA"/>
              </w:rPr>
            </w:pPr>
            <w:r>
              <w:rPr>
                <w:rFonts w:hint="eastAsia" w:ascii="宋体" w:hAnsi="宋体" w:eastAsia="宋体" w:cs="宋体"/>
                <w:color w:val="0000FF"/>
                <w:kern w:val="0"/>
                <w:sz w:val="18"/>
                <w:szCs w:val="18"/>
                <w:highlight w:val="none"/>
                <w:lang w:val="en-US" w:eastAsia="zh-CN"/>
              </w:rPr>
              <w:t>注：</w:t>
            </w:r>
            <w:r>
              <w:rPr>
                <w:rFonts w:hint="eastAsia" w:ascii="宋体" w:hAnsi="宋体" w:eastAsia="宋体" w:cs="宋体"/>
                <w:color w:val="0000FF"/>
                <w:kern w:val="0"/>
                <w:sz w:val="18"/>
                <w:szCs w:val="18"/>
                <w:highlight w:val="none"/>
              </w:rPr>
              <w:t>各项目获奖情况不累计计分，仅取最高奖项，即不同项目获得不同荣誉称号，仅取最高荣誉计分</w:t>
            </w:r>
            <w:r>
              <w:rPr>
                <w:rFonts w:hint="eastAsia" w:ascii="宋体" w:hAnsi="宋体" w:eastAsia="宋体" w:cs="宋体"/>
                <w:color w:val="0000FF"/>
                <w:kern w:val="0"/>
                <w:sz w:val="18"/>
                <w:szCs w:val="18"/>
                <w:highlight w:val="none"/>
                <w:lang w:eastAsia="zh-CN"/>
              </w:rPr>
              <w:t>。</w:t>
            </w:r>
            <w:r>
              <w:rPr>
                <w:rFonts w:hint="eastAsia" w:ascii="宋体" w:hAnsi="宋体" w:eastAsia="宋体" w:cs="宋体"/>
                <w:color w:val="0000FF"/>
                <w:kern w:val="0"/>
                <w:sz w:val="18"/>
                <w:szCs w:val="18"/>
                <w:highlight w:val="none"/>
                <w:lang w:val="en-US" w:eastAsia="zh-CN"/>
              </w:rPr>
              <w:t>须提供有效证明文件复印件加盖单位盖章，没有的不得分</w:t>
            </w:r>
            <w:r>
              <w:rPr>
                <w:rFonts w:hint="eastAsia" w:ascii="宋体" w:hAnsi="宋体" w:eastAsia="宋体" w:cs="宋体"/>
                <w:color w:val="0000FF"/>
                <w:kern w:val="0"/>
                <w:sz w:val="18"/>
                <w:szCs w:val="18"/>
                <w:highlight w:val="none"/>
                <w:lang w:eastAsia="zh-CN"/>
              </w:rPr>
              <w:t>。</w:t>
            </w:r>
          </w:p>
        </w:tc>
      </w:tr>
      <w:tr w14:paraId="4FBF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306DA061">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1D0F0DB7">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投标供应商20</w:t>
            </w:r>
            <w:r>
              <w:rPr>
                <w:rFonts w:hint="eastAsia" w:ascii="宋体" w:hAnsi="宋体" w:eastAsia="宋体" w:cs="宋体"/>
                <w:color w:val="auto"/>
                <w:sz w:val="18"/>
                <w:szCs w:val="18"/>
                <w:highlight w:val="none"/>
                <w:lang w:val="en-US" w:eastAsia="zh-CN"/>
              </w:rPr>
              <w:t>22</w:t>
            </w:r>
            <w:r>
              <w:rPr>
                <w:rFonts w:hint="eastAsia" w:ascii="宋体" w:hAnsi="宋体" w:eastAsia="宋体" w:cs="宋体"/>
                <w:color w:val="auto"/>
                <w:sz w:val="18"/>
                <w:szCs w:val="18"/>
                <w:highlight w:val="none"/>
              </w:rPr>
              <w:t>年以来项目业绩</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288C2788">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421F6B13">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1）投标供应商20</w:t>
            </w:r>
            <w:r>
              <w:rPr>
                <w:rFonts w:hint="eastAsia" w:ascii="宋体" w:hAnsi="宋体" w:eastAsia="宋体" w:cs="宋体"/>
                <w:snapToGrid w:val="0"/>
                <w:color w:val="auto"/>
                <w:sz w:val="18"/>
                <w:szCs w:val="18"/>
                <w:highlight w:val="none"/>
                <w:lang w:val="en-US" w:eastAsia="zh-CN"/>
              </w:rPr>
              <w:t>22</w:t>
            </w:r>
            <w:r>
              <w:rPr>
                <w:rFonts w:hint="eastAsia" w:ascii="宋体" w:hAnsi="宋体" w:eastAsia="宋体" w:cs="宋体"/>
                <w:snapToGrid w:val="0"/>
                <w:color w:val="auto"/>
                <w:sz w:val="18"/>
                <w:szCs w:val="18"/>
                <w:highlight w:val="none"/>
              </w:rPr>
              <w:t>年</w:t>
            </w:r>
            <w:r>
              <w:rPr>
                <w:rFonts w:hint="eastAsia" w:ascii="宋体" w:hAnsi="宋体" w:eastAsia="宋体" w:cs="宋体"/>
                <w:snapToGrid w:val="0"/>
                <w:color w:val="auto"/>
                <w:sz w:val="18"/>
                <w:szCs w:val="18"/>
                <w:highlight w:val="none"/>
                <w:lang w:val="en-US" w:eastAsia="zh-CN"/>
              </w:rPr>
              <w:t>1月1</w:t>
            </w:r>
            <w:r>
              <w:rPr>
                <w:rFonts w:hint="eastAsia" w:ascii="宋体" w:hAnsi="宋体" w:eastAsia="宋体" w:cs="宋体"/>
                <w:snapToGrid w:val="0"/>
                <w:color w:val="auto"/>
                <w:sz w:val="18"/>
                <w:szCs w:val="18"/>
                <w:highlight w:val="none"/>
              </w:rPr>
              <w:t>以来的有高速</w:t>
            </w:r>
            <w:r>
              <w:rPr>
                <w:rFonts w:hint="eastAsia" w:ascii="宋体" w:hAnsi="宋体" w:eastAsia="宋体" w:cs="宋体"/>
                <w:snapToGrid w:val="0"/>
                <w:color w:val="auto"/>
                <w:sz w:val="18"/>
                <w:szCs w:val="18"/>
                <w:highlight w:val="none"/>
                <w:lang w:eastAsia="zh-CN"/>
              </w:rPr>
              <w:t>停车区</w:t>
            </w:r>
            <w:r>
              <w:rPr>
                <w:rFonts w:hint="eastAsia" w:ascii="宋体" w:hAnsi="宋体" w:eastAsia="宋体" w:cs="宋体"/>
                <w:snapToGrid w:val="0"/>
                <w:color w:val="auto"/>
                <w:sz w:val="18"/>
                <w:szCs w:val="18"/>
                <w:highlight w:val="none"/>
              </w:rPr>
              <w:t>（停车区）物业管理业绩的，每提供1项业绩得</w:t>
            </w:r>
            <w:r>
              <w:rPr>
                <w:rFonts w:hint="eastAsia" w:ascii="宋体" w:hAnsi="宋体" w:eastAsia="宋体" w:cs="宋体"/>
                <w:snapToGrid w:val="0"/>
                <w:color w:val="auto"/>
                <w:sz w:val="18"/>
                <w:szCs w:val="18"/>
                <w:highlight w:val="none"/>
                <w:lang w:val="en-US" w:eastAsia="zh-CN"/>
              </w:rPr>
              <w:t>3</w:t>
            </w:r>
            <w:r>
              <w:rPr>
                <w:rFonts w:hint="eastAsia" w:ascii="宋体" w:hAnsi="宋体" w:eastAsia="宋体" w:cs="宋体"/>
                <w:snapToGrid w:val="0"/>
                <w:color w:val="auto"/>
                <w:sz w:val="18"/>
                <w:szCs w:val="18"/>
                <w:highlight w:val="none"/>
              </w:rPr>
              <w:t>分，最高</w:t>
            </w:r>
            <w:r>
              <w:rPr>
                <w:rFonts w:hint="eastAsia" w:ascii="宋体" w:hAnsi="宋体" w:eastAsia="宋体" w:cs="宋体"/>
                <w:snapToGrid w:val="0"/>
                <w:color w:val="auto"/>
                <w:sz w:val="18"/>
                <w:szCs w:val="18"/>
                <w:highlight w:val="none"/>
                <w:lang w:val="en-US" w:eastAsia="zh-CN"/>
              </w:rPr>
              <w:t>3</w:t>
            </w:r>
            <w:r>
              <w:rPr>
                <w:rFonts w:hint="eastAsia" w:ascii="宋体" w:hAnsi="宋体" w:eastAsia="宋体" w:cs="宋体"/>
                <w:snapToGrid w:val="0"/>
                <w:color w:val="auto"/>
                <w:sz w:val="18"/>
                <w:szCs w:val="18"/>
                <w:highlight w:val="none"/>
              </w:rPr>
              <w:t>分。</w:t>
            </w:r>
          </w:p>
          <w:p w14:paraId="0073F556">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2）投标供应商20</w:t>
            </w:r>
            <w:r>
              <w:rPr>
                <w:rFonts w:hint="eastAsia" w:ascii="宋体" w:hAnsi="宋体" w:eastAsia="宋体" w:cs="宋体"/>
                <w:snapToGrid w:val="0"/>
                <w:color w:val="auto"/>
                <w:sz w:val="18"/>
                <w:szCs w:val="18"/>
                <w:highlight w:val="none"/>
                <w:lang w:val="en-US" w:eastAsia="zh-CN"/>
              </w:rPr>
              <w:t>22</w:t>
            </w:r>
            <w:r>
              <w:rPr>
                <w:rFonts w:hint="eastAsia" w:ascii="宋体" w:hAnsi="宋体" w:eastAsia="宋体" w:cs="宋体"/>
                <w:snapToGrid w:val="0"/>
                <w:color w:val="auto"/>
                <w:sz w:val="18"/>
                <w:szCs w:val="18"/>
                <w:highlight w:val="none"/>
              </w:rPr>
              <w:t>年以来的公共场所物业管理项目业绩的，每提供1项业绩得</w:t>
            </w:r>
            <w:r>
              <w:rPr>
                <w:rFonts w:hint="eastAsia" w:ascii="宋体" w:hAnsi="宋体" w:eastAsia="宋体" w:cs="宋体"/>
                <w:snapToGrid w:val="0"/>
                <w:color w:val="auto"/>
                <w:sz w:val="18"/>
                <w:szCs w:val="18"/>
                <w:highlight w:val="none"/>
                <w:lang w:val="en-US" w:eastAsia="zh-CN"/>
              </w:rPr>
              <w:t>1</w:t>
            </w:r>
            <w:r>
              <w:rPr>
                <w:rFonts w:hint="eastAsia" w:ascii="宋体" w:hAnsi="宋体" w:eastAsia="宋体" w:cs="宋体"/>
                <w:snapToGrid w:val="0"/>
                <w:color w:val="auto"/>
                <w:sz w:val="18"/>
                <w:szCs w:val="18"/>
                <w:highlight w:val="none"/>
              </w:rPr>
              <w:t>分，最高</w:t>
            </w:r>
            <w:r>
              <w:rPr>
                <w:rFonts w:hint="eastAsia" w:ascii="宋体" w:hAnsi="宋体" w:eastAsia="宋体" w:cs="宋体"/>
                <w:snapToGrid w:val="0"/>
                <w:color w:val="auto"/>
                <w:sz w:val="18"/>
                <w:szCs w:val="18"/>
                <w:highlight w:val="none"/>
                <w:lang w:val="en-US" w:eastAsia="zh-CN"/>
              </w:rPr>
              <w:t>3</w:t>
            </w:r>
            <w:r>
              <w:rPr>
                <w:rFonts w:hint="eastAsia" w:ascii="宋体" w:hAnsi="宋体" w:eastAsia="宋体" w:cs="宋体"/>
                <w:snapToGrid w:val="0"/>
                <w:color w:val="auto"/>
                <w:sz w:val="18"/>
                <w:szCs w:val="18"/>
                <w:highlight w:val="none"/>
              </w:rPr>
              <w:t>分。</w:t>
            </w:r>
          </w:p>
          <w:p w14:paraId="1A8C4CF7">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b/>
                <w:bCs/>
                <w:snapToGrid w:val="0"/>
                <w:color w:val="auto"/>
                <w:sz w:val="18"/>
                <w:szCs w:val="18"/>
                <w:highlight w:val="none"/>
              </w:rPr>
              <w:t>注：提供合同</w:t>
            </w:r>
            <w:r>
              <w:rPr>
                <w:rFonts w:hint="eastAsia" w:ascii="宋体" w:hAnsi="宋体" w:eastAsia="宋体" w:cs="宋体"/>
                <w:b/>
                <w:bCs/>
                <w:snapToGrid w:val="0"/>
                <w:color w:val="auto"/>
                <w:sz w:val="18"/>
                <w:szCs w:val="18"/>
                <w:highlight w:val="none"/>
                <w:lang w:val="en-US" w:eastAsia="zh-CN"/>
              </w:rPr>
              <w:t>复印件</w:t>
            </w:r>
            <w:r>
              <w:rPr>
                <w:rFonts w:hint="eastAsia" w:ascii="宋体" w:hAnsi="宋体" w:eastAsia="宋体" w:cs="宋体"/>
                <w:b/>
                <w:bCs/>
                <w:snapToGrid w:val="0"/>
                <w:color w:val="auto"/>
                <w:sz w:val="18"/>
                <w:szCs w:val="18"/>
                <w:highlight w:val="none"/>
              </w:rPr>
              <w:t>加盖单位</w:t>
            </w:r>
            <w:r>
              <w:rPr>
                <w:rFonts w:hint="eastAsia" w:ascii="宋体" w:hAnsi="宋体" w:eastAsia="宋体" w:cs="宋体"/>
                <w:b/>
                <w:bCs/>
                <w:snapToGrid w:val="0"/>
                <w:color w:val="auto"/>
                <w:sz w:val="18"/>
                <w:szCs w:val="18"/>
                <w:highlight w:val="none"/>
                <w:lang w:val="en-US" w:eastAsia="zh-CN"/>
              </w:rPr>
              <w:t>公</w:t>
            </w:r>
            <w:r>
              <w:rPr>
                <w:rFonts w:hint="eastAsia" w:ascii="宋体" w:hAnsi="宋体" w:eastAsia="宋体" w:cs="宋体"/>
                <w:b/>
                <w:bCs/>
                <w:snapToGrid w:val="0"/>
                <w:color w:val="auto"/>
                <w:sz w:val="18"/>
                <w:szCs w:val="18"/>
                <w:highlight w:val="none"/>
              </w:rPr>
              <w:t>章，同个项目不可重复计，同时提供原件核对，否则不得分。</w:t>
            </w:r>
          </w:p>
        </w:tc>
      </w:tr>
      <w:tr w14:paraId="5BB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67415A5F">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35D09252">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人员投入、服务员工配备情况</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48AE075B">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090EBC50">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岗位设置及配备情况（包括岗位明细、每个岗位的工作安排计划等），由评委综合打分</w:t>
            </w:r>
            <w:r>
              <w:rPr>
                <w:rFonts w:hint="eastAsia" w:ascii="宋体" w:hAnsi="宋体" w:eastAsia="宋体" w:cs="宋体"/>
                <w:snapToGrid w:val="0"/>
                <w:color w:val="auto"/>
                <w:sz w:val="18"/>
                <w:szCs w:val="18"/>
                <w:highlight w:val="none"/>
                <w:lang w:eastAsia="zh-CN"/>
              </w:rPr>
              <w:t>：</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snapToGrid w:val="0"/>
                <w:color w:val="auto"/>
                <w:sz w:val="18"/>
                <w:szCs w:val="18"/>
                <w:highlight w:val="none"/>
              </w:rPr>
              <w:t>。</w:t>
            </w:r>
          </w:p>
        </w:tc>
      </w:tr>
      <w:tr w14:paraId="72BC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5603D1F3">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3788D536">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员工服装配置</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1411098C">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3F111FA0">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根据各类服务人员着装配置是否齐备等因素，由评委综合打分</w:t>
            </w:r>
            <w:r>
              <w:rPr>
                <w:rFonts w:hint="eastAsia" w:ascii="宋体" w:hAnsi="宋体" w:eastAsia="宋体" w:cs="宋体"/>
                <w:snapToGrid w:val="0"/>
                <w:color w:val="auto"/>
                <w:sz w:val="18"/>
                <w:szCs w:val="18"/>
                <w:highlight w:val="none"/>
                <w:lang w:eastAsia="zh-CN"/>
              </w:rPr>
              <w:t>：</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w:t>
            </w:r>
            <w:r>
              <w:rPr>
                <w:rFonts w:hint="eastAsia" w:ascii="宋体" w:hAnsi="宋体" w:eastAsia="宋体" w:cs="宋体"/>
                <w:snapToGrid w:val="0"/>
                <w:color w:val="auto"/>
                <w:sz w:val="18"/>
                <w:szCs w:val="18"/>
                <w:highlight w:val="none"/>
              </w:rPr>
              <w:t>。</w:t>
            </w:r>
          </w:p>
        </w:tc>
      </w:tr>
      <w:tr w14:paraId="13ED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0F04AB63">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772A7D9E">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管理服务组织机构设置、运作流程、服务管理机制</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166D43C3">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33FABF7D">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根据管理服务组织机构设置（附组织机构图）、运作流程（附运作流程图）、激励机制、监督机制、自我约束机制和信息反馈渠道及处理机制等是否科学、合理、高效，由评委综合打分</w:t>
            </w:r>
            <w:r>
              <w:rPr>
                <w:rFonts w:hint="eastAsia" w:ascii="宋体" w:hAnsi="宋体" w:eastAsia="宋体" w:cs="宋体"/>
                <w:snapToGrid w:val="0"/>
                <w:color w:val="auto"/>
                <w:sz w:val="18"/>
                <w:szCs w:val="18"/>
                <w:highlight w:val="none"/>
                <w:lang w:eastAsia="zh-CN"/>
              </w:rPr>
              <w:t>：</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snapToGrid w:val="0"/>
                <w:color w:val="auto"/>
                <w:sz w:val="18"/>
                <w:szCs w:val="18"/>
                <w:highlight w:val="none"/>
              </w:rPr>
              <w:t>。</w:t>
            </w:r>
          </w:p>
        </w:tc>
      </w:tr>
      <w:tr w14:paraId="1375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71056910">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3993B4D9">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各项管理规章制度及考核方法</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6D5C8A40">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0C240352">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各项公众制度、内部岗位责任制度、管理人员考核制度及标准等，要求符合规范，体现高标准、高档次、科学合理、详细完备；人员、设施、设备管理服务、业主方反馈资料、文件资料等档案的建立与管理，由评委综合打分</w:t>
            </w:r>
            <w:r>
              <w:rPr>
                <w:rFonts w:hint="eastAsia" w:ascii="宋体" w:hAnsi="宋体" w:eastAsia="宋体" w:cs="宋体"/>
                <w:snapToGrid w:val="0"/>
                <w:color w:val="auto"/>
                <w:sz w:val="18"/>
                <w:szCs w:val="18"/>
                <w:highlight w:val="none"/>
                <w:lang w:eastAsia="zh-CN"/>
              </w:rPr>
              <w:t>：</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snapToGrid w:val="0"/>
                <w:color w:val="auto"/>
                <w:sz w:val="18"/>
                <w:szCs w:val="18"/>
                <w:highlight w:val="none"/>
              </w:rPr>
              <w:t>。</w:t>
            </w:r>
          </w:p>
        </w:tc>
      </w:tr>
      <w:tr w14:paraId="2443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37B22949">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5F1A2996">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针对本项目的特点和难点分析及解决措施</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40265B9C">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738C7ECE">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根据对本项目运行特点和难点分析的准确性及解决措施的科学性，由评委综合打分</w:t>
            </w:r>
            <w:r>
              <w:rPr>
                <w:rFonts w:hint="eastAsia" w:ascii="宋体" w:hAnsi="宋体" w:eastAsia="宋体" w:cs="宋体"/>
                <w:snapToGrid w:val="0"/>
                <w:color w:val="auto"/>
                <w:sz w:val="18"/>
                <w:szCs w:val="18"/>
                <w:highlight w:val="none"/>
                <w:lang w:eastAsia="zh-CN"/>
              </w:rPr>
              <w:t>：</w:t>
            </w:r>
            <w:r>
              <w:rPr>
                <w:rFonts w:hint="eastAsia" w:ascii="宋体" w:hAnsi="宋体" w:eastAsia="宋体" w:cs="宋体"/>
                <w:color w:val="auto"/>
                <w:sz w:val="18"/>
                <w:szCs w:val="18"/>
                <w:highlight w:val="none"/>
                <w:lang w:val="en-US" w:eastAsia="zh-CN"/>
              </w:rPr>
              <w:t>一般0-3分，良3-6分，优6</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分</w:t>
            </w:r>
            <w:r>
              <w:rPr>
                <w:rFonts w:hint="eastAsia" w:ascii="宋体" w:hAnsi="宋体" w:eastAsia="宋体" w:cs="宋体"/>
                <w:snapToGrid w:val="0"/>
                <w:color w:val="auto"/>
                <w:sz w:val="18"/>
                <w:szCs w:val="18"/>
                <w:highlight w:val="none"/>
              </w:rPr>
              <w:t>。</w:t>
            </w:r>
          </w:p>
        </w:tc>
      </w:tr>
      <w:tr w14:paraId="1DA4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4AA2F5D5">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2E7E8109">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环境卫生管理实施方案</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1844666A">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3DEA6DC5">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根据实施方案的科学性及合理性，由评委综合打分</w:t>
            </w:r>
            <w:r>
              <w:rPr>
                <w:rFonts w:hint="eastAsia" w:ascii="宋体" w:hAnsi="宋体" w:eastAsia="宋体" w:cs="宋体"/>
                <w:snapToGrid w:val="0"/>
                <w:color w:val="auto"/>
                <w:sz w:val="18"/>
                <w:szCs w:val="18"/>
                <w:highlight w:val="none"/>
                <w:lang w:eastAsia="zh-CN"/>
              </w:rPr>
              <w:t>：</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snapToGrid w:val="0"/>
                <w:color w:val="auto"/>
                <w:sz w:val="18"/>
                <w:szCs w:val="18"/>
                <w:highlight w:val="none"/>
              </w:rPr>
              <w:t>。</w:t>
            </w:r>
          </w:p>
        </w:tc>
      </w:tr>
      <w:tr w14:paraId="7514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79AD4EEF">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3FE927B1">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安防实施方案</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192516A7">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6E281B8B">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b w:val="0"/>
                <w:bCs w:val="0"/>
                <w:snapToGrid w:val="0"/>
                <w:color w:val="auto"/>
                <w:kern w:val="2"/>
                <w:sz w:val="18"/>
                <w:szCs w:val="18"/>
                <w:highlight w:val="none"/>
                <w:lang w:val="en-US" w:eastAsia="zh-CN" w:bidi="ar-SA"/>
              </w:rPr>
            </w:pPr>
            <w:r>
              <w:rPr>
                <w:rFonts w:hint="eastAsia" w:ascii="宋体" w:hAnsi="宋体" w:eastAsia="宋体" w:cs="宋体"/>
                <w:b w:val="0"/>
                <w:bCs w:val="0"/>
                <w:snapToGrid w:val="0"/>
                <w:color w:val="auto"/>
                <w:kern w:val="2"/>
                <w:sz w:val="18"/>
                <w:szCs w:val="18"/>
                <w:highlight w:val="none"/>
                <w:lang w:val="en-US" w:eastAsia="zh-CN" w:bidi="ar-SA"/>
              </w:rPr>
              <w:t>根据实施方案的科学性及合理性，由评委综合打分</w:t>
            </w:r>
            <w:r>
              <w:rPr>
                <w:rFonts w:hint="eastAsia" w:ascii="宋体" w:hAnsi="宋体" w:eastAsia="宋体" w:cs="宋体"/>
                <w:snapToGrid w:val="0"/>
                <w:color w:val="auto"/>
                <w:sz w:val="18"/>
                <w:szCs w:val="18"/>
                <w:highlight w:val="none"/>
                <w:lang w:eastAsia="zh-CN"/>
              </w:rPr>
              <w:t>：</w:t>
            </w:r>
            <w:r>
              <w:rPr>
                <w:rFonts w:hint="eastAsia" w:ascii="宋体" w:hAnsi="宋体" w:eastAsia="宋体" w:cs="宋体"/>
                <w:color w:val="auto"/>
                <w:sz w:val="18"/>
                <w:szCs w:val="18"/>
                <w:highlight w:val="none"/>
                <w:lang w:val="en-US" w:eastAsia="zh-CN"/>
              </w:rPr>
              <w:t>一般0-3分，良3-6分，优6</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分</w:t>
            </w:r>
            <w:r>
              <w:rPr>
                <w:rFonts w:hint="eastAsia" w:ascii="宋体" w:hAnsi="宋体" w:eastAsia="宋体" w:cs="宋体"/>
                <w:b w:val="0"/>
                <w:bCs w:val="0"/>
                <w:snapToGrid w:val="0"/>
                <w:color w:val="auto"/>
                <w:kern w:val="2"/>
                <w:sz w:val="18"/>
                <w:szCs w:val="18"/>
                <w:highlight w:val="none"/>
                <w:lang w:val="en-US" w:eastAsia="zh-CN" w:bidi="ar-SA"/>
              </w:rPr>
              <w:t>。</w:t>
            </w:r>
          </w:p>
        </w:tc>
      </w:tr>
      <w:tr w14:paraId="027B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2D168477">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118052A2">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应急预案</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1FCF8295">
            <w:pPr>
              <w:keepLines w:val="0"/>
              <w:pageBreakBefore w:val="0"/>
              <w:shd w:val="clear" w:color="auto" w:fill="auto"/>
              <w:kinsoku/>
              <w:wordWrap/>
              <w:overflowPunct/>
              <w:topLinePunct w:val="0"/>
              <w:autoSpaceDE/>
              <w:autoSpaceDN/>
              <w:bidi w:val="0"/>
              <w:spacing w:line="240" w:lineRule="atLeast"/>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402CECF6">
            <w:pPr>
              <w:pStyle w:val="2"/>
              <w:keepLines w:val="0"/>
              <w:pageBreakBefore w:val="0"/>
              <w:shd w:val="clear" w:color="auto" w:fill="auto"/>
              <w:tabs>
                <w:tab w:val="left" w:pos="840"/>
              </w:tabs>
              <w:kinsoku/>
              <w:wordWrap/>
              <w:overflowPunct/>
              <w:topLinePunct w:val="0"/>
              <w:autoSpaceDE/>
              <w:autoSpaceDN/>
              <w:bidi w:val="0"/>
              <w:spacing w:line="240" w:lineRule="atLeast"/>
              <w:jc w:val="both"/>
              <w:textAlignment w:val="auto"/>
              <w:rPr>
                <w:rFonts w:hint="eastAsia" w:ascii="宋体" w:hAnsi="宋体" w:eastAsia="宋体" w:cs="宋体"/>
                <w:b w:val="0"/>
                <w:bCs w:val="0"/>
                <w:snapToGrid w:val="0"/>
                <w:color w:val="auto"/>
                <w:kern w:val="2"/>
                <w:sz w:val="18"/>
                <w:szCs w:val="18"/>
                <w:highlight w:val="none"/>
                <w:lang w:val="en-US" w:eastAsia="zh-CN" w:bidi="ar-SA"/>
              </w:rPr>
            </w:pPr>
            <w:r>
              <w:rPr>
                <w:rFonts w:hint="eastAsia" w:ascii="宋体" w:hAnsi="宋体" w:eastAsia="宋体" w:cs="宋体"/>
                <w:b w:val="0"/>
                <w:bCs w:val="0"/>
                <w:snapToGrid w:val="0"/>
                <w:color w:val="auto"/>
                <w:kern w:val="2"/>
                <w:sz w:val="18"/>
                <w:szCs w:val="18"/>
                <w:highlight w:val="none"/>
                <w:lang w:val="en-US" w:eastAsia="zh-CN" w:bidi="ar-SA"/>
              </w:rPr>
              <w:t>（1）根据投标供应商提供的应对及化解突发事件时的应急方案内容，能根据项目实际情况设计，满足采购需求中的服务标准和要求的，得2-1分；方案较为简单，基本符合采购需求的，得1-0分；不符合采购需求或者未提供相应内容的不得分。此项最高得2分。</w:t>
            </w:r>
          </w:p>
          <w:p w14:paraId="05B14704">
            <w:pPr>
              <w:pStyle w:val="2"/>
              <w:keepLines w:val="0"/>
              <w:pageBreakBefore w:val="0"/>
              <w:shd w:val="clear" w:color="auto" w:fill="auto"/>
              <w:tabs>
                <w:tab w:val="left" w:pos="840"/>
              </w:tabs>
              <w:kinsoku/>
              <w:wordWrap/>
              <w:overflowPunct/>
              <w:topLinePunct w:val="0"/>
              <w:autoSpaceDE/>
              <w:autoSpaceDN/>
              <w:bidi w:val="0"/>
              <w:spacing w:line="240" w:lineRule="atLeast"/>
              <w:jc w:val="both"/>
              <w:textAlignment w:val="auto"/>
              <w:rPr>
                <w:rFonts w:hint="eastAsia" w:ascii="宋体" w:hAnsi="宋体" w:eastAsia="宋体" w:cs="宋体"/>
                <w:b w:val="0"/>
                <w:bCs w:val="0"/>
                <w:snapToGrid w:val="0"/>
                <w:color w:val="auto"/>
                <w:kern w:val="2"/>
                <w:sz w:val="18"/>
                <w:szCs w:val="18"/>
                <w:highlight w:val="none"/>
                <w:lang w:val="en-US" w:eastAsia="zh-CN" w:bidi="ar-SA"/>
              </w:rPr>
            </w:pPr>
            <w:r>
              <w:rPr>
                <w:rFonts w:hint="eastAsia" w:ascii="宋体" w:hAnsi="宋体" w:eastAsia="宋体" w:cs="宋体"/>
                <w:b w:val="0"/>
                <w:bCs w:val="0"/>
                <w:snapToGrid w:val="0"/>
                <w:color w:val="auto"/>
                <w:kern w:val="2"/>
                <w:sz w:val="18"/>
                <w:szCs w:val="18"/>
                <w:highlight w:val="none"/>
                <w:lang w:val="en-US" w:eastAsia="zh-CN" w:bidi="ar-SA"/>
              </w:rPr>
              <w:t>（2）根据投标供应商提供的应对极端天气（台风、暴雨、冻雪）时的应急方案内容，能根据项目实际情况设计，满足采购需求中的服务标准和要求的，得4-2分；方案较为简单，基本符合采购需求的，得2-0分；不符合采购需求或者未提供相应内容的不得分。此项最高得4分。</w:t>
            </w:r>
          </w:p>
          <w:p w14:paraId="1F4B8241">
            <w:pPr>
              <w:pStyle w:val="2"/>
              <w:keepLines w:val="0"/>
              <w:pageBreakBefore w:val="0"/>
              <w:shd w:val="clear" w:color="auto" w:fill="auto"/>
              <w:tabs>
                <w:tab w:val="left" w:pos="840"/>
              </w:tabs>
              <w:kinsoku/>
              <w:wordWrap/>
              <w:overflowPunct/>
              <w:topLinePunct w:val="0"/>
              <w:autoSpaceDE/>
              <w:autoSpaceDN/>
              <w:bidi w:val="0"/>
              <w:spacing w:line="240" w:lineRule="atLeast"/>
              <w:jc w:val="both"/>
              <w:textAlignment w:val="auto"/>
              <w:rPr>
                <w:rFonts w:hint="eastAsia" w:ascii="宋体" w:hAnsi="宋体" w:eastAsia="宋体" w:cs="宋体"/>
                <w:b w:val="0"/>
                <w:bCs w:val="0"/>
                <w:snapToGrid w:val="0"/>
                <w:color w:val="auto"/>
                <w:kern w:val="2"/>
                <w:sz w:val="18"/>
                <w:szCs w:val="18"/>
                <w:highlight w:val="none"/>
                <w:lang w:val="en-US" w:eastAsia="zh-CN" w:bidi="ar-SA"/>
              </w:rPr>
            </w:pPr>
            <w:r>
              <w:rPr>
                <w:rFonts w:hint="eastAsia" w:ascii="宋体" w:hAnsi="宋体" w:eastAsia="宋体" w:cs="宋体"/>
                <w:b w:val="0"/>
                <w:bCs w:val="0"/>
                <w:snapToGrid w:val="0"/>
                <w:color w:val="auto"/>
                <w:kern w:val="2"/>
                <w:sz w:val="18"/>
                <w:szCs w:val="18"/>
                <w:highlight w:val="none"/>
                <w:lang w:val="en-US" w:eastAsia="zh-CN" w:bidi="ar-SA"/>
              </w:rPr>
              <w:t>（3）根据投标供应商提供的应对临时加班时的应急方案内容，能根据项目实际情况设计，满足采购需求中的服务标准和要求的，得4-2分；方案较为简单，基本符合采购需求的，得2-0分；不符合采购需求或者未提供相应内容的不得分。此项最高得4分。</w:t>
            </w:r>
          </w:p>
        </w:tc>
      </w:tr>
      <w:tr w14:paraId="6D35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5462450A">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1</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33408AEB">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项目质量管理保证措施方案</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694390ED">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3B55668D">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根据为本项目就管理程序文件、质量记录，管理过程中存在的问题解决对策，管理成果检验评估方法，质量管理改进方法等，由评委综合打分</w:t>
            </w:r>
            <w:r>
              <w:rPr>
                <w:rFonts w:hint="eastAsia" w:ascii="宋体" w:hAnsi="宋体" w:eastAsia="宋体" w:cs="宋体"/>
                <w:snapToGrid w:val="0"/>
                <w:color w:val="auto"/>
                <w:sz w:val="18"/>
                <w:szCs w:val="18"/>
                <w:highlight w:val="none"/>
                <w:lang w:eastAsia="zh-CN"/>
              </w:rPr>
              <w:t>：</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w:t>
            </w:r>
            <w:r>
              <w:rPr>
                <w:rFonts w:hint="eastAsia" w:ascii="宋体" w:hAnsi="宋体" w:eastAsia="宋体" w:cs="宋体"/>
                <w:snapToGrid w:val="0"/>
                <w:color w:val="auto"/>
                <w:sz w:val="18"/>
                <w:szCs w:val="18"/>
                <w:highlight w:val="none"/>
              </w:rPr>
              <w:t>。</w:t>
            </w:r>
          </w:p>
        </w:tc>
      </w:tr>
      <w:tr w14:paraId="1E77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48B605E4">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32E20322">
            <w:pPr>
              <w:keepLines w:val="0"/>
              <w:pageBreakBefore w:val="0"/>
              <w:widowControl/>
              <w:shd w:val="clear" w:color="auto" w:fill="auto"/>
              <w:kinsoku/>
              <w:wordWrap/>
              <w:overflowPunct/>
              <w:topLinePunct w:val="0"/>
              <w:autoSpaceDE/>
              <w:autoSpaceDN/>
              <w:bidi w:val="0"/>
              <w:adjustRightInd w:val="0"/>
              <w:snapToGrid w:val="0"/>
              <w:spacing w:line="240" w:lineRule="atLeast"/>
              <w:ind w:left="-50"/>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bidi="ar"/>
              </w:rPr>
              <w:t>服务期内提供无偿承诺情况</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7EC56D21">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53F53947">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1）每年专业清洗广场地面提供≥ 5 次，得 1 分；</w:t>
            </w:r>
          </w:p>
          <w:p w14:paraId="27BBFD3E">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2）每年专业清洗空调≥2 次，得 1分；</w:t>
            </w:r>
          </w:p>
          <w:p w14:paraId="36134DEC">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3）每年负责化粪池清理清运≥2次，得 1 分。</w:t>
            </w:r>
          </w:p>
          <w:p w14:paraId="3091B839">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4）每年负责生活水箱清洗≥2次，得1分。</w:t>
            </w:r>
          </w:p>
          <w:p w14:paraId="225C3557">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（以上服务承诺需提供具体方案）</w:t>
            </w:r>
          </w:p>
        </w:tc>
      </w:tr>
      <w:tr w14:paraId="1B0B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1" w:type="dxa"/>
            <w:tcBorders>
              <w:top w:val="single" w:color="auto" w:sz="4" w:space="0"/>
              <w:left w:val="single" w:color="auto" w:sz="4" w:space="0"/>
              <w:bottom w:val="single" w:color="auto" w:sz="4" w:space="0"/>
              <w:right w:val="single" w:color="auto" w:sz="4" w:space="0"/>
            </w:tcBorders>
            <w:noWrap w:val="0"/>
            <w:vAlign w:val="center"/>
          </w:tcPr>
          <w:p w14:paraId="44FF2442">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14:paraId="5BC2157D">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服务期内承诺提供的增值服务设备</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1766000C">
            <w:pPr>
              <w:keepLines w:val="0"/>
              <w:pageBreakBefore w:val="0"/>
              <w:shd w:val="clear" w:color="auto" w:fill="auto"/>
              <w:kinsoku/>
              <w:wordWrap/>
              <w:overflowPunct/>
              <w:topLinePunct w:val="0"/>
              <w:autoSpaceDE/>
              <w:autoSpaceDN/>
              <w:bidi w:val="0"/>
              <w:spacing w:line="240" w:lineRule="atLeas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5807" w:type="dxa"/>
            <w:tcBorders>
              <w:top w:val="single" w:color="auto" w:sz="4" w:space="0"/>
              <w:left w:val="single" w:color="auto" w:sz="4" w:space="0"/>
              <w:bottom w:val="single" w:color="auto" w:sz="4" w:space="0"/>
              <w:right w:val="single" w:color="auto" w:sz="4" w:space="0"/>
            </w:tcBorders>
            <w:noWrap w:val="0"/>
            <w:vAlign w:val="center"/>
          </w:tcPr>
          <w:p w14:paraId="2F1D562C">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能承诺提供以下增值服务设备，其中提供：</w:t>
            </w:r>
          </w:p>
          <w:p w14:paraId="125B8374">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1）四轮双排巡逻车（基本参数不小于电机功率≥4000W，载客人数 4-5 人，否则不予认可）得3分；</w:t>
            </w:r>
          </w:p>
          <w:p w14:paraId="6DF66421">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2）专业保洁垃圾清运车（≥2辆）得1分；</w:t>
            </w:r>
          </w:p>
          <w:p w14:paraId="263D6134">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 xml:space="preserve">3）其他新型智能化清洁设备的得1分。 </w:t>
            </w:r>
          </w:p>
        </w:tc>
      </w:tr>
      <w:tr w14:paraId="76D2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86" w:type="dxa"/>
            <w:gridSpan w:val="5"/>
            <w:tcBorders>
              <w:top w:val="single" w:color="000000" w:sz="4" w:space="0"/>
              <w:left w:val="single" w:color="000000" w:sz="4" w:space="0"/>
              <w:bottom w:val="single" w:color="auto" w:sz="4" w:space="0"/>
              <w:right w:val="single" w:color="000000" w:sz="4" w:space="0"/>
            </w:tcBorders>
            <w:noWrap w:val="0"/>
            <w:vAlign w:val="center"/>
          </w:tcPr>
          <w:p w14:paraId="0484094B">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说明：</w:t>
            </w:r>
          </w:p>
          <w:p w14:paraId="56BAC93C">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（1）技术资信标未提供评分项目内容的，该项按零分处理，且不受最低分值限制。</w:t>
            </w:r>
          </w:p>
          <w:p w14:paraId="762022D4">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（2）技术资信标中提供的证明材料无法辨认的，按未提供处理。</w:t>
            </w:r>
          </w:p>
          <w:p w14:paraId="33B6F503">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（3）投标供应商需根据采购文件的要求进行制作，内容简洁明了，编排合理有序，与采购内容无关或不符合采购文件要求的资料不要编入技术资信标。</w:t>
            </w:r>
          </w:p>
          <w:p w14:paraId="6E174CBB">
            <w:pPr>
              <w:keepLines w:val="0"/>
              <w:pageBreakBefore w:val="0"/>
              <w:shd w:val="clear" w:color="auto" w:fill="auto"/>
              <w:kinsoku/>
              <w:wordWrap/>
              <w:overflowPunct/>
              <w:topLinePunct w:val="0"/>
              <w:autoSpaceDE/>
              <w:autoSpaceDN/>
              <w:bidi w:val="0"/>
              <w:spacing w:line="240" w:lineRule="atLeas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（4）投标供应商若提交原件资料的，应将原件单独包封（密封形式不限），与投标文件一同在投标截至时间前递交给采购代理机构，投标截至时间后，不允许补充原件。</w:t>
            </w:r>
          </w:p>
        </w:tc>
      </w:tr>
    </w:tbl>
    <w:p w14:paraId="3F050F59">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14:paraId="768BAEA4">
      <w:pPr>
        <w:rPr>
          <w:rFonts w:hint="eastAsia" w:ascii="宋体" w:hAnsi="宋体" w:eastAsia="宋体" w:cs="宋体"/>
          <w:b/>
          <w:color w:val="auto"/>
          <w:sz w:val="22"/>
          <w:highlight w:val="none"/>
        </w:rPr>
      </w:pPr>
      <w:bookmarkStart w:id="226" w:name="_Hlk11188594"/>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15</w:t>
      </w:r>
      <w:r>
        <w:rPr>
          <w:rFonts w:hint="eastAsia" w:ascii="宋体" w:hAnsi="宋体" w:eastAsia="宋体" w:cs="宋体"/>
          <w:b/>
          <w:color w:val="auto"/>
          <w:sz w:val="22"/>
          <w:highlight w:val="none"/>
        </w:rPr>
        <w:t>分）：</w:t>
      </w:r>
    </w:p>
    <w:bookmarkEnd w:id="226"/>
    <w:p w14:paraId="454F87D1">
      <w:pPr>
        <w:ind w:firstLine="440" w:firstLineChars="200"/>
        <w:rPr>
          <w:rFonts w:hint="eastAsia" w:ascii="宋体" w:hAnsi="宋体" w:eastAsia="宋体" w:cs="宋体"/>
          <w:color w:val="auto"/>
          <w:sz w:val="22"/>
          <w:highlight w:val="none"/>
        </w:rPr>
      </w:pPr>
      <w:bookmarkStart w:id="227"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文件要求且投标价格最低的投标报价为评标基准价</w:t>
      </w:r>
      <w:r>
        <w:rPr>
          <w:rFonts w:hint="eastAsia" w:ascii="宋体" w:hAnsi="宋体" w:eastAsia="宋体" w:cs="宋体"/>
          <w:color w:val="auto"/>
          <w:sz w:val="22"/>
          <w:highlight w:val="none"/>
          <w:lang w:eastAsia="zh-CN"/>
        </w:rPr>
        <w:t>；</w:t>
      </w:r>
    </w:p>
    <w:p w14:paraId="3012DFA1">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w:t>
      </w:r>
      <w:r>
        <w:rPr>
          <w:rFonts w:hint="eastAsia" w:ascii="宋体" w:hAnsi="宋体" w:eastAsia="宋体" w:cs="宋体"/>
          <w:color w:val="auto"/>
          <w:sz w:val="22"/>
          <w:highlight w:val="none"/>
          <w:lang w:val="en-US" w:eastAsia="zh-CN"/>
        </w:rPr>
        <w:t>15</w:t>
      </w:r>
      <w:r>
        <w:rPr>
          <w:rFonts w:hint="eastAsia" w:ascii="宋体" w:hAnsi="宋体" w:eastAsia="宋体" w:cs="宋体"/>
          <w:color w:val="auto"/>
          <w:sz w:val="22"/>
          <w:highlight w:val="none"/>
        </w:rPr>
        <w:t>分；</w:t>
      </w:r>
    </w:p>
    <w:p w14:paraId="231007C7">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14:paraId="5C2CCE73">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14:paraId="31021ECC">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本项目商务（报价）权值为15%</w:t>
      </w:r>
      <w:r>
        <w:rPr>
          <w:rFonts w:hint="eastAsia" w:ascii="宋体" w:hAnsi="宋体" w:eastAsia="宋体" w:cs="宋体"/>
          <w:color w:val="auto"/>
          <w:sz w:val="22"/>
          <w:highlight w:val="none"/>
        </w:rPr>
        <w:t>。</w:t>
      </w:r>
    </w:p>
    <w:bookmarkEnd w:id="227"/>
    <w:p w14:paraId="51B0C933">
      <w:pPr>
        <w:rPr>
          <w:rFonts w:hint="eastAsia" w:ascii="宋体" w:hAnsi="宋体" w:eastAsia="宋体" w:cs="宋体"/>
          <w:b/>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color w:val="auto"/>
          <w:sz w:val="22"/>
          <w:highlight w:val="none"/>
        </w:rPr>
        <w:t>3、本次采购</w:t>
      </w:r>
      <w:r>
        <w:rPr>
          <w:rFonts w:hint="eastAsia" w:ascii="宋体" w:hAnsi="宋体" w:eastAsia="宋体" w:cs="宋体"/>
          <w:b/>
          <w:color w:val="auto"/>
          <w:sz w:val="22"/>
          <w:highlight w:val="none"/>
          <w:lang w:val="en-US" w:eastAsia="zh-CN"/>
        </w:rPr>
        <w:t>最高限价</w:t>
      </w:r>
      <w:r>
        <w:rPr>
          <w:rFonts w:hint="eastAsia" w:ascii="宋体" w:hAnsi="宋体" w:eastAsia="宋体" w:cs="宋体"/>
          <w:b/>
          <w:color w:val="auto"/>
          <w:sz w:val="22"/>
          <w:highlight w:val="none"/>
        </w:rPr>
        <w:t>为人民币</w:t>
      </w:r>
      <w:r>
        <w:rPr>
          <w:rFonts w:hint="eastAsia" w:ascii="宋体" w:hAnsi="宋体" w:eastAsia="宋体" w:cs="宋体"/>
          <w:b/>
          <w:color w:val="auto"/>
          <w:sz w:val="22"/>
          <w:highlight w:val="none"/>
          <w:lang w:val="en-US" w:eastAsia="zh-CN"/>
        </w:rPr>
        <w:t>158万元</w:t>
      </w:r>
      <w:r>
        <w:rPr>
          <w:rFonts w:hint="eastAsia" w:ascii="宋体" w:hAnsi="宋体" w:eastAsia="宋体" w:cs="宋体"/>
          <w:b/>
          <w:color w:val="auto"/>
          <w:sz w:val="22"/>
          <w:highlight w:val="none"/>
        </w:rPr>
        <w:t>, 如投标供应商报价超过</w:t>
      </w:r>
      <w:r>
        <w:rPr>
          <w:rFonts w:hint="eastAsia" w:ascii="宋体" w:hAnsi="宋体" w:eastAsia="宋体" w:cs="宋体"/>
          <w:b/>
          <w:color w:val="auto"/>
          <w:sz w:val="22"/>
          <w:highlight w:val="none"/>
          <w:lang w:val="en-US" w:eastAsia="zh-CN"/>
        </w:rPr>
        <w:t>最高限价的</w:t>
      </w:r>
      <w:r>
        <w:rPr>
          <w:rFonts w:hint="eastAsia" w:ascii="宋体" w:hAnsi="宋体" w:eastAsia="宋体" w:cs="宋体"/>
          <w:b/>
          <w:color w:val="auto"/>
          <w:sz w:val="22"/>
          <w:highlight w:val="none"/>
        </w:rPr>
        <w:t>按无效标处理。</w:t>
      </w:r>
    </w:p>
    <w:p w14:paraId="7FBB23BD">
      <w:pPr>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    4、如所有投标供应商报价均超过</w:t>
      </w:r>
      <w:r>
        <w:rPr>
          <w:rFonts w:hint="eastAsia" w:ascii="宋体" w:hAnsi="宋体" w:eastAsia="宋体" w:cs="宋体"/>
          <w:b/>
          <w:color w:val="auto"/>
          <w:sz w:val="22"/>
          <w:highlight w:val="none"/>
          <w:lang w:val="en-US" w:eastAsia="zh-CN"/>
        </w:rPr>
        <w:t>最高限价</w:t>
      </w:r>
      <w:r>
        <w:rPr>
          <w:rFonts w:hint="eastAsia" w:ascii="宋体" w:hAnsi="宋体" w:eastAsia="宋体" w:cs="宋体"/>
          <w:b/>
          <w:color w:val="auto"/>
          <w:sz w:val="22"/>
          <w:highlight w:val="none"/>
        </w:rPr>
        <w:t>，此项目废标，应重新组织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14:paraId="2F0E2CF2">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、各有效投标供应商的综合得分为技术资信分和商务（报价）分的总和。</w:t>
      </w:r>
    </w:p>
    <w:p w14:paraId="3695DF3D">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、评标委员会按各有效投标供应商综合得分高低顺序排列，综合得分第一名的投标人作为中标候选供应商，并提交评标报告。</w:t>
      </w:r>
    </w:p>
    <w:p w14:paraId="238A8416">
      <w:pPr>
        <w:ind w:firstLine="440" w:firstLineChars="200"/>
        <w:rPr>
          <w:rFonts w:hint="eastAsia"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14:paraId="01709E94">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28" w:name="_Toc221356967"/>
      <w:bookmarkStart w:id="229" w:name="_Toc221356904"/>
    </w:p>
    <w:p w14:paraId="53C6A7CC">
      <w:pPr>
        <w:ind w:left="424" w:leftChars="1" w:hanging="422" w:hangingChars="191"/>
        <w:rPr>
          <w:rFonts w:hint="eastAsia" w:ascii="宋体" w:hAnsi="宋体" w:eastAsia="宋体" w:cs="宋体"/>
          <w:color w:val="auto"/>
          <w:highlight w:val="none"/>
        </w:rPr>
      </w:pPr>
      <w:r>
        <w:rPr>
          <w:rFonts w:hint="eastAsia" w:ascii="宋体" w:hAnsi="宋体" w:eastAsia="宋体" w:cs="宋体"/>
          <w:b/>
          <w:color w:val="auto"/>
          <w:sz w:val="22"/>
          <w:szCs w:val="24"/>
          <w:highlight w:val="none"/>
        </w:rPr>
        <w:t xml:space="preserve">1、 </w:t>
      </w:r>
      <w:r>
        <w:rPr>
          <w:rFonts w:hint="eastAsia" w:ascii="宋体" w:hAnsi="宋体" w:eastAsia="宋体" w:cs="宋体"/>
          <w:color w:val="auto"/>
          <w:sz w:val="22"/>
          <w:highlight w:val="none"/>
        </w:rPr>
        <w:t>本次采购由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14:paraId="5636C87C">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14:paraId="005171A9">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14:paraId="58D63C1B">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28"/>
      <w:bookmarkEnd w:id="229"/>
    </w:p>
    <w:p w14:paraId="48F763A6">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评标结束后，采购人将在发布采购公告的网站上公示中标结果。中标公告期为3日，中标公告期限结束无异议的，采购人向中标人发出中标通知书。</w:t>
      </w:r>
    </w:p>
    <w:p w14:paraId="09243954">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各投标人对评标结果如有质疑（异议），应在中标公告期内以书面形式向采购人进行署名提出，但需对质疑内容的真实性承担法律责任。</w:t>
      </w:r>
    </w:p>
    <w:p w14:paraId="3EEC53FB">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14:paraId="242C4C18">
      <w:pPr>
        <w:ind w:firstLine="440" w:firstLineChars="200"/>
        <w:rPr>
          <w:rFonts w:hint="eastAsia" w:ascii="宋体" w:hAnsi="宋体" w:eastAsia="宋体" w:cs="宋体"/>
          <w:szCs w:val="24"/>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headerReference r:id="rId5" w:type="default"/>
      <w:footerReference r:id="rId6" w:type="default"/>
      <w:pgSz w:w="11906" w:h="16838"/>
      <w:pgMar w:top="1361" w:right="1417" w:bottom="1304" w:left="1417" w:header="680" w:footer="65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B23DF">
    <w:pPr>
      <w:pStyle w:val="8"/>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14:paraId="048555B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E700">
    <w:pPr>
      <w:pStyle w:val="8"/>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14:paraId="7C33F409">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EE847">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7152">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EEB16C6A"/>
    <w:multiLevelType w:val="multilevel"/>
    <w:tmpl w:val="EEB16C6A"/>
    <w:lvl w:ilvl="0" w:tentative="0">
      <w:start w:val="1"/>
      <w:numFmt w:val="decimal"/>
      <w:lvlText w:val="31.%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00000002"/>
    <w:multiLevelType w:val="multilevel"/>
    <w:tmpl w:val="00000002"/>
    <w:lvl w:ilvl="0" w:tentative="0">
      <w:start w:val="1"/>
      <w:numFmt w:val="chineseCounting"/>
      <w:suff w:val="nothing"/>
      <w:lvlText w:val="%1、"/>
      <w:lvlJc w:val="left"/>
      <w:pPr>
        <w:ind w:left="0"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9">
    <w:nsid w:val="421020B9"/>
    <w:multiLevelType w:val="multilevel"/>
    <w:tmpl w:val="421020B9"/>
    <w:lvl w:ilvl="0" w:tentative="0">
      <w:start w:val="1"/>
      <w:numFmt w:val="decimal"/>
      <w:lvlText w:val="%1."/>
      <w:lvlJc w:val="left"/>
      <w:pPr>
        <w:tabs>
          <w:tab w:val="left" w:pos="680"/>
        </w:tabs>
        <w:ind w:left="680" w:hanging="680"/>
      </w:pPr>
      <w:rPr>
        <w:rFonts w:hint="default" w:ascii="Arial" w:hAnsi="Arial" w:eastAsia="宋体"/>
        <w:b w:val="0"/>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20">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1">
    <w:nsid w:val="61C91FB3"/>
    <w:multiLevelType w:val="multilevel"/>
    <w:tmpl w:val="61C91FB3"/>
    <w:lvl w:ilvl="0" w:tentative="0">
      <w:start w:val="1"/>
      <w:numFmt w:val="decimal"/>
      <w:pStyle w:val="55"/>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2">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3">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F3C0690"/>
    <w:multiLevelType w:val="multilevel"/>
    <w:tmpl w:val="7F3C0690"/>
    <w:lvl w:ilvl="0" w:tentative="0">
      <w:start w:val="1"/>
      <w:numFmt w:val="decimal"/>
      <w:lvlText w:val="%1."/>
      <w:lvlJc w:val="left"/>
      <w:pPr>
        <w:tabs>
          <w:tab w:val="left" w:pos="680"/>
        </w:tabs>
        <w:ind w:left="680" w:hanging="680"/>
      </w:pPr>
      <w:rPr>
        <w:rFonts w:hint="default" w:ascii="Arial" w:hAnsi="Arial" w:eastAsia="宋体"/>
        <w:b/>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1156"/>
        </w:tabs>
        <w:ind w:left="856" w:hanging="420"/>
      </w:pPr>
      <w:rPr>
        <w:rFonts w:hint="default" w:ascii="Arial" w:hAnsi="Arial" w:cs="Arial"/>
        <w:b w:val="0"/>
        <w:sz w:val="21"/>
        <w:szCs w:val="21"/>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num w:numId="1">
    <w:abstractNumId w:val="21"/>
  </w:num>
  <w:num w:numId="2">
    <w:abstractNumId w:val="23"/>
  </w:num>
  <w:num w:numId="3">
    <w:abstractNumId w:val="7"/>
  </w:num>
  <w:num w:numId="4">
    <w:abstractNumId w:val="6"/>
  </w:num>
  <w:num w:numId="5">
    <w:abstractNumId w:val="9"/>
  </w:num>
  <w:num w:numId="6">
    <w:abstractNumId w:val="17"/>
  </w:num>
  <w:num w:numId="7">
    <w:abstractNumId w:val="14"/>
  </w:num>
  <w:num w:numId="8">
    <w:abstractNumId w:val="16"/>
  </w:num>
  <w:num w:numId="9">
    <w:abstractNumId w:val="24"/>
  </w:num>
  <w:num w:numId="10">
    <w:abstractNumId w:val="12"/>
  </w:num>
  <w:num w:numId="11">
    <w:abstractNumId w:val="13"/>
  </w:num>
  <w:num w:numId="12">
    <w:abstractNumId w:val="8"/>
  </w:num>
  <w:num w:numId="13">
    <w:abstractNumId w:val="1"/>
  </w:num>
  <w:num w:numId="14">
    <w:abstractNumId w:val="15"/>
  </w:num>
  <w:num w:numId="15">
    <w:abstractNumId w:val="10"/>
  </w:num>
  <w:num w:numId="16">
    <w:abstractNumId w:val="11"/>
  </w:num>
  <w:num w:numId="17">
    <w:abstractNumId w:val="18"/>
  </w:num>
  <w:num w:numId="18">
    <w:abstractNumId w:val="3"/>
  </w:num>
  <w:num w:numId="19">
    <w:abstractNumId w:val="0"/>
  </w:num>
  <w:num w:numId="20">
    <w:abstractNumId w:val="22"/>
  </w:num>
  <w:num w:numId="21">
    <w:abstractNumId w:val="2"/>
  </w:num>
  <w:num w:numId="22">
    <w:abstractNumId w:val="4"/>
  </w:num>
  <w:num w:numId="23">
    <w:abstractNumId w:val="5"/>
    <w:lvlOverride w:ilvl="0">
      <w:startOverride w:val="1"/>
    </w:lvlOverride>
  </w:num>
  <w:num w:numId="24">
    <w:abstractNumId w:val="20"/>
  </w:num>
  <w:num w:numId="25">
    <w:abstractNumId w:val="1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CD6746"/>
    <w:rsid w:val="00002209"/>
    <w:rsid w:val="00010E87"/>
    <w:rsid w:val="00017920"/>
    <w:rsid w:val="00046C7A"/>
    <w:rsid w:val="000802B4"/>
    <w:rsid w:val="00093412"/>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56231"/>
    <w:rsid w:val="00FC1656"/>
    <w:rsid w:val="011D0AED"/>
    <w:rsid w:val="01274FF8"/>
    <w:rsid w:val="01E43A9D"/>
    <w:rsid w:val="02197961"/>
    <w:rsid w:val="0278657E"/>
    <w:rsid w:val="02D24484"/>
    <w:rsid w:val="0390360A"/>
    <w:rsid w:val="039C74BF"/>
    <w:rsid w:val="03AF243C"/>
    <w:rsid w:val="04824617"/>
    <w:rsid w:val="04D83AD1"/>
    <w:rsid w:val="05380AFF"/>
    <w:rsid w:val="055022DD"/>
    <w:rsid w:val="07B211EB"/>
    <w:rsid w:val="07E27C7A"/>
    <w:rsid w:val="0898670D"/>
    <w:rsid w:val="094B7274"/>
    <w:rsid w:val="097769B8"/>
    <w:rsid w:val="098C3C3A"/>
    <w:rsid w:val="0A0C1598"/>
    <w:rsid w:val="0A0D1766"/>
    <w:rsid w:val="0A474359"/>
    <w:rsid w:val="0AE853F8"/>
    <w:rsid w:val="0B681B73"/>
    <w:rsid w:val="0EF123DD"/>
    <w:rsid w:val="0FA90764"/>
    <w:rsid w:val="10DC4179"/>
    <w:rsid w:val="127D5FE1"/>
    <w:rsid w:val="12D053D2"/>
    <w:rsid w:val="12D60804"/>
    <w:rsid w:val="131F731B"/>
    <w:rsid w:val="134C3973"/>
    <w:rsid w:val="13855179"/>
    <w:rsid w:val="14357F51"/>
    <w:rsid w:val="14362C14"/>
    <w:rsid w:val="144607CD"/>
    <w:rsid w:val="145E000B"/>
    <w:rsid w:val="14E775D9"/>
    <w:rsid w:val="16F0162C"/>
    <w:rsid w:val="17204078"/>
    <w:rsid w:val="172D5A52"/>
    <w:rsid w:val="175D20E7"/>
    <w:rsid w:val="17951D53"/>
    <w:rsid w:val="17F42F7B"/>
    <w:rsid w:val="183C71F7"/>
    <w:rsid w:val="189F6425"/>
    <w:rsid w:val="190341A5"/>
    <w:rsid w:val="194873ED"/>
    <w:rsid w:val="194A795A"/>
    <w:rsid w:val="19C202C4"/>
    <w:rsid w:val="1A832753"/>
    <w:rsid w:val="1A9611D4"/>
    <w:rsid w:val="1AB7139C"/>
    <w:rsid w:val="1B3D207D"/>
    <w:rsid w:val="1B55070F"/>
    <w:rsid w:val="1C1A3373"/>
    <w:rsid w:val="1C74219B"/>
    <w:rsid w:val="1CA9457D"/>
    <w:rsid w:val="1CFE561E"/>
    <w:rsid w:val="1F6959AD"/>
    <w:rsid w:val="1FED6319"/>
    <w:rsid w:val="201179B6"/>
    <w:rsid w:val="20122A1D"/>
    <w:rsid w:val="20512598"/>
    <w:rsid w:val="20643D84"/>
    <w:rsid w:val="20651BCC"/>
    <w:rsid w:val="20E12C42"/>
    <w:rsid w:val="211D2FFF"/>
    <w:rsid w:val="22AE0075"/>
    <w:rsid w:val="23701F89"/>
    <w:rsid w:val="23D7323D"/>
    <w:rsid w:val="23E20B30"/>
    <w:rsid w:val="25074D3A"/>
    <w:rsid w:val="25722EEF"/>
    <w:rsid w:val="267E7AA6"/>
    <w:rsid w:val="27447DA8"/>
    <w:rsid w:val="27A0246B"/>
    <w:rsid w:val="27A25135"/>
    <w:rsid w:val="27AB3D4E"/>
    <w:rsid w:val="27CB4942"/>
    <w:rsid w:val="28853BB9"/>
    <w:rsid w:val="292170A7"/>
    <w:rsid w:val="2A4F3B9E"/>
    <w:rsid w:val="2A5D30E7"/>
    <w:rsid w:val="2BAE17FF"/>
    <w:rsid w:val="2BE91F37"/>
    <w:rsid w:val="2C7A749B"/>
    <w:rsid w:val="2CF325E7"/>
    <w:rsid w:val="2D394F92"/>
    <w:rsid w:val="2D8C35AC"/>
    <w:rsid w:val="2D8D700C"/>
    <w:rsid w:val="2DE46FCA"/>
    <w:rsid w:val="2E977576"/>
    <w:rsid w:val="2F922452"/>
    <w:rsid w:val="2FD76B14"/>
    <w:rsid w:val="30856178"/>
    <w:rsid w:val="31706B16"/>
    <w:rsid w:val="323F36A4"/>
    <w:rsid w:val="32B40120"/>
    <w:rsid w:val="335B08EC"/>
    <w:rsid w:val="33E55514"/>
    <w:rsid w:val="34122848"/>
    <w:rsid w:val="341A30EC"/>
    <w:rsid w:val="34402E73"/>
    <w:rsid w:val="34A873D8"/>
    <w:rsid w:val="363F6564"/>
    <w:rsid w:val="367A561E"/>
    <w:rsid w:val="370E5AB9"/>
    <w:rsid w:val="373B5261"/>
    <w:rsid w:val="375764F0"/>
    <w:rsid w:val="3879381B"/>
    <w:rsid w:val="38DA2725"/>
    <w:rsid w:val="38F76E7A"/>
    <w:rsid w:val="39644506"/>
    <w:rsid w:val="396E7463"/>
    <w:rsid w:val="397702BB"/>
    <w:rsid w:val="3A3B0A05"/>
    <w:rsid w:val="3AC11B20"/>
    <w:rsid w:val="3B274F84"/>
    <w:rsid w:val="3B665F58"/>
    <w:rsid w:val="3BAF5709"/>
    <w:rsid w:val="3C294FC1"/>
    <w:rsid w:val="3D602EC0"/>
    <w:rsid w:val="3D6B3046"/>
    <w:rsid w:val="3DD47D4D"/>
    <w:rsid w:val="3E832880"/>
    <w:rsid w:val="3F2A0CE7"/>
    <w:rsid w:val="3FFC5460"/>
    <w:rsid w:val="400A66DC"/>
    <w:rsid w:val="41E16035"/>
    <w:rsid w:val="431279E4"/>
    <w:rsid w:val="43255009"/>
    <w:rsid w:val="436822EB"/>
    <w:rsid w:val="43E2309D"/>
    <w:rsid w:val="446316C8"/>
    <w:rsid w:val="44725C42"/>
    <w:rsid w:val="457703BB"/>
    <w:rsid w:val="461D61E6"/>
    <w:rsid w:val="465B07E0"/>
    <w:rsid w:val="465B19C6"/>
    <w:rsid w:val="46D87095"/>
    <w:rsid w:val="46F359A1"/>
    <w:rsid w:val="4722157A"/>
    <w:rsid w:val="4766166B"/>
    <w:rsid w:val="47CF2F88"/>
    <w:rsid w:val="47FE4D25"/>
    <w:rsid w:val="486A3514"/>
    <w:rsid w:val="486B260B"/>
    <w:rsid w:val="499015D2"/>
    <w:rsid w:val="49B7682C"/>
    <w:rsid w:val="4A6142EA"/>
    <w:rsid w:val="4A7C50FD"/>
    <w:rsid w:val="4B9C5A94"/>
    <w:rsid w:val="4BB679CE"/>
    <w:rsid w:val="4BC573A8"/>
    <w:rsid w:val="4BE13907"/>
    <w:rsid w:val="4C1C3E43"/>
    <w:rsid w:val="4CBD124A"/>
    <w:rsid w:val="4DF55A70"/>
    <w:rsid w:val="4E066FF6"/>
    <w:rsid w:val="4ECB70F3"/>
    <w:rsid w:val="4F1D55BA"/>
    <w:rsid w:val="4F580C02"/>
    <w:rsid w:val="4F5D3335"/>
    <w:rsid w:val="4F6164F5"/>
    <w:rsid w:val="4FA97952"/>
    <w:rsid w:val="4FED09B8"/>
    <w:rsid w:val="506F4E1E"/>
    <w:rsid w:val="51F35615"/>
    <w:rsid w:val="53F44CB7"/>
    <w:rsid w:val="540E20B0"/>
    <w:rsid w:val="5520090C"/>
    <w:rsid w:val="552E18CA"/>
    <w:rsid w:val="55482FE4"/>
    <w:rsid w:val="55D40B98"/>
    <w:rsid w:val="56F02839"/>
    <w:rsid w:val="571C1C36"/>
    <w:rsid w:val="576D6D37"/>
    <w:rsid w:val="58A514A0"/>
    <w:rsid w:val="58D20B4F"/>
    <w:rsid w:val="59B33345"/>
    <w:rsid w:val="5A0E6993"/>
    <w:rsid w:val="5A431DCD"/>
    <w:rsid w:val="5A4474E6"/>
    <w:rsid w:val="5B3F64D3"/>
    <w:rsid w:val="5D1C7AB0"/>
    <w:rsid w:val="5DFE4642"/>
    <w:rsid w:val="5F99219D"/>
    <w:rsid w:val="609754C8"/>
    <w:rsid w:val="60AB6EDD"/>
    <w:rsid w:val="62404987"/>
    <w:rsid w:val="63007260"/>
    <w:rsid w:val="63160A12"/>
    <w:rsid w:val="641D786A"/>
    <w:rsid w:val="64795514"/>
    <w:rsid w:val="65172004"/>
    <w:rsid w:val="65F9165C"/>
    <w:rsid w:val="66951383"/>
    <w:rsid w:val="67404828"/>
    <w:rsid w:val="67513D2A"/>
    <w:rsid w:val="68D67726"/>
    <w:rsid w:val="6935262D"/>
    <w:rsid w:val="69F04C89"/>
    <w:rsid w:val="6A6E2984"/>
    <w:rsid w:val="6B253BC7"/>
    <w:rsid w:val="6B465BD0"/>
    <w:rsid w:val="6B924AC0"/>
    <w:rsid w:val="6BE14F0E"/>
    <w:rsid w:val="6C6E57C2"/>
    <w:rsid w:val="6CEE2778"/>
    <w:rsid w:val="6DEC77D0"/>
    <w:rsid w:val="6E54747C"/>
    <w:rsid w:val="6F9371EB"/>
    <w:rsid w:val="6FDB3E77"/>
    <w:rsid w:val="71B740EC"/>
    <w:rsid w:val="72223A16"/>
    <w:rsid w:val="72245523"/>
    <w:rsid w:val="72566EF3"/>
    <w:rsid w:val="72BB0AD8"/>
    <w:rsid w:val="72C1286E"/>
    <w:rsid w:val="737D1FAE"/>
    <w:rsid w:val="74160519"/>
    <w:rsid w:val="74277D91"/>
    <w:rsid w:val="7465193A"/>
    <w:rsid w:val="759E0068"/>
    <w:rsid w:val="76110A91"/>
    <w:rsid w:val="7649793B"/>
    <w:rsid w:val="77AD0A02"/>
    <w:rsid w:val="785A05EC"/>
    <w:rsid w:val="78A35E38"/>
    <w:rsid w:val="79E93803"/>
    <w:rsid w:val="79F57DFF"/>
    <w:rsid w:val="7A316A2D"/>
    <w:rsid w:val="7AEE79C2"/>
    <w:rsid w:val="7B933E36"/>
    <w:rsid w:val="7C136869"/>
    <w:rsid w:val="7C200EF9"/>
    <w:rsid w:val="7C2C6B59"/>
    <w:rsid w:val="7CAF57ED"/>
    <w:rsid w:val="7D7B47E8"/>
    <w:rsid w:val="7E151CB9"/>
    <w:rsid w:val="7E6F0C8B"/>
    <w:rsid w:val="7EA44C35"/>
    <w:rsid w:val="7EE770EC"/>
    <w:rsid w:val="7F0A5FAD"/>
    <w:rsid w:val="7F9D77A7"/>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jc w:val="center"/>
      <w:outlineLvl w:val="0"/>
    </w:pPr>
    <w:rPr>
      <w:rFonts w:ascii="Tahoma" w:eastAsia="Tahoma"/>
      <w:b/>
      <w:bCs/>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5">
    <w:name w:val="heading 5"/>
    <w:basedOn w:val="1"/>
    <w:next w:val="1"/>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2" w:lineRule="atLeast"/>
      <w:ind w:firstLine="420"/>
      <w:textAlignment w:val="baseline"/>
    </w:pPr>
    <w:rPr>
      <w:kern w:val="0"/>
      <w:szCs w:val="20"/>
    </w:rPr>
  </w:style>
  <w:style w:type="paragraph" w:styleId="7">
    <w:name w:val="annotation text"/>
    <w:basedOn w:val="1"/>
    <w:link w:val="36"/>
    <w:qFormat/>
    <w:uiPriority w:val="0"/>
    <w:pPr>
      <w:jc w:val="left"/>
    </w:pPr>
  </w:style>
  <w:style w:type="paragraph" w:styleId="8">
    <w:name w:val="Body Text"/>
    <w:basedOn w:val="1"/>
    <w:next w:val="9"/>
    <w:qFormat/>
    <w:uiPriority w:val="0"/>
    <w:pPr>
      <w:spacing w:after="120"/>
    </w:pPr>
    <w:rPr>
      <w:rFonts w:eastAsia="宋体,Verdana,Arial"/>
    </w:rPr>
  </w:style>
  <w:style w:type="paragraph" w:styleId="9">
    <w:name w:val="Body Text First Indent"/>
    <w:basedOn w:val="8"/>
    <w:next w:val="10"/>
    <w:qFormat/>
    <w:uiPriority w:val="0"/>
    <w:pPr>
      <w:autoSpaceDE w:val="0"/>
      <w:autoSpaceDN w:val="0"/>
      <w:adjustRightInd w:val="0"/>
      <w:ind w:firstLine="420" w:firstLineChars="100"/>
      <w:jc w:val="left"/>
    </w:pPr>
  </w:style>
  <w:style w:type="paragraph" w:styleId="10">
    <w:name w:val="toc 6"/>
    <w:basedOn w:val="1"/>
    <w:next w:val="1"/>
    <w:semiHidden/>
    <w:qFormat/>
    <w:uiPriority w:val="0"/>
    <w:pPr>
      <w:ind w:left="1050"/>
      <w:jc w:val="left"/>
    </w:pPr>
    <w:rPr>
      <w:sz w:val="18"/>
      <w:szCs w:val="18"/>
    </w:rPr>
  </w:style>
  <w:style w:type="paragraph" w:styleId="11">
    <w:name w:val="Body Text Indent"/>
    <w:basedOn w:val="1"/>
    <w:next w:val="1"/>
    <w:qFormat/>
    <w:uiPriority w:val="0"/>
    <w:pPr>
      <w:ind w:left="480" w:hanging="480" w:hangingChars="200"/>
    </w:pPr>
    <w:rPr>
      <w:sz w:val="24"/>
    </w:rPr>
  </w:style>
  <w:style w:type="paragraph" w:styleId="12">
    <w:name w:val="Block Text"/>
    <w:basedOn w:val="1"/>
    <w:qFormat/>
    <w:uiPriority w:val="0"/>
    <w:pPr>
      <w:spacing w:before="156" w:beforeLines="50" w:after="156" w:afterLines="50"/>
      <w:ind w:left="426" w:right="-11" w:hanging="426" w:hangingChars="203"/>
    </w:pPr>
    <w:rPr>
      <w:rFonts w:eastAsia="楷体_GB2312"/>
    </w:rPr>
  </w:style>
  <w:style w:type="paragraph" w:styleId="13">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4">
    <w:name w:val="Date"/>
    <w:basedOn w:val="1"/>
    <w:next w:val="1"/>
    <w:qFormat/>
    <w:uiPriority w:val="0"/>
    <w:pPr>
      <w:ind w:left="100" w:leftChars="2500"/>
    </w:pPr>
    <w:rPr>
      <w:rFonts w:ascii="Times New Roman" w:hAnsi="Times New Roman"/>
    </w:rPr>
  </w:style>
  <w:style w:type="paragraph" w:styleId="15">
    <w:name w:val="Body Text Indent 2"/>
    <w:basedOn w:val="1"/>
    <w:qFormat/>
    <w:uiPriority w:val="0"/>
    <w:pPr>
      <w:ind w:firstLine="568" w:firstLineChars="203"/>
    </w:pPr>
    <w:rPr>
      <w:rFonts w:ascii="宋体" w:hAnsi="宋体"/>
      <w:sz w:val="28"/>
    </w:rPr>
  </w:style>
  <w:style w:type="paragraph" w:styleId="16">
    <w:name w:val="Balloon Text"/>
    <w:basedOn w:val="1"/>
    <w:link w:val="62"/>
    <w:qFormat/>
    <w:uiPriority w:val="0"/>
    <w:rPr>
      <w:sz w:val="18"/>
      <w:szCs w:val="18"/>
    </w:rPr>
  </w:style>
  <w:style w:type="paragraph" w:styleId="17">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9">
    <w:name w:val="toc 1"/>
    <w:basedOn w:val="1"/>
    <w:next w:val="1"/>
    <w:qFormat/>
    <w:uiPriority w:val="39"/>
    <w:pPr>
      <w:tabs>
        <w:tab w:val="right" w:leader="dot" w:pos="9660"/>
      </w:tabs>
      <w:spacing w:line="480" w:lineRule="auto"/>
    </w:pPr>
  </w:style>
  <w:style w:type="paragraph" w:styleId="20">
    <w:name w:val="toc 4"/>
    <w:basedOn w:val="1"/>
    <w:next w:val="1"/>
    <w:qFormat/>
    <w:uiPriority w:val="0"/>
    <w:pPr>
      <w:wordWrap w:val="0"/>
      <w:ind w:left="850"/>
    </w:pPr>
  </w:style>
  <w:style w:type="paragraph" w:styleId="21">
    <w:name w:val="Normal (Web)"/>
    <w:basedOn w:val="1"/>
    <w:qFormat/>
    <w:uiPriority w:val="0"/>
    <w:pPr>
      <w:spacing w:after="210"/>
      <w:jc w:val="left"/>
    </w:pPr>
    <w:rPr>
      <w:kern w:val="0"/>
      <w:sz w:val="24"/>
    </w:rPr>
  </w:style>
  <w:style w:type="paragraph" w:styleId="22">
    <w:name w:val="annotation subject"/>
    <w:basedOn w:val="7"/>
    <w:next w:val="7"/>
    <w:link w:val="37"/>
    <w:qFormat/>
    <w:uiPriority w:val="0"/>
    <w:rPr>
      <w:b/>
      <w:bCs/>
    </w:rPr>
  </w:style>
  <w:style w:type="paragraph" w:styleId="23">
    <w:name w:val="Body Text First Indent 2"/>
    <w:basedOn w:val="11"/>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qFormat/>
    <w:uiPriority w:val="0"/>
    <w:rPr>
      <w:color w:val="1890FF"/>
      <w:u w:val="none"/>
    </w:rPr>
  </w:style>
  <w:style w:type="character" w:styleId="29">
    <w:name w:val="HTML Definition"/>
    <w:basedOn w:val="26"/>
    <w:qFormat/>
    <w:uiPriority w:val="0"/>
    <w:rPr>
      <w:i/>
      <w:iCs/>
    </w:rPr>
  </w:style>
  <w:style w:type="character" w:styleId="30">
    <w:name w:val="Hyperlink"/>
    <w:qFormat/>
    <w:uiPriority w:val="99"/>
    <w:rPr>
      <w:color w:val="0000FF"/>
      <w:u w:val="single"/>
    </w:rPr>
  </w:style>
  <w:style w:type="character" w:styleId="31">
    <w:name w:val="HTML Code"/>
    <w:basedOn w:val="26"/>
    <w:qFormat/>
    <w:uiPriority w:val="0"/>
    <w:rPr>
      <w:rFonts w:ascii="Consolas" w:hAnsi="Consolas" w:eastAsia="Consolas" w:cs="Consolas"/>
      <w:sz w:val="21"/>
      <w:szCs w:val="21"/>
    </w:rPr>
  </w:style>
  <w:style w:type="character" w:styleId="32">
    <w:name w:val="annotation reference"/>
    <w:basedOn w:val="26"/>
    <w:qFormat/>
    <w:uiPriority w:val="0"/>
    <w:rPr>
      <w:sz w:val="21"/>
      <w:szCs w:val="21"/>
    </w:rPr>
  </w:style>
  <w:style w:type="character" w:styleId="33">
    <w:name w:val="HTML Keyboard"/>
    <w:basedOn w:val="26"/>
    <w:qFormat/>
    <w:uiPriority w:val="0"/>
    <w:rPr>
      <w:rFonts w:hint="default" w:ascii="Consolas" w:hAnsi="Consolas" w:eastAsia="Consolas" w:cs="Consolas"/>
      <w:sz w:val="21"/>
      <w:szCs w:val="21"/>
    </w:rPr>
  </w:style>
  <w:style w:type="character" w:styleId="34">
    <w:name w:val="HTML Sample"/>
    <w:basedOn w:val="26"/>
    <w:qFormat/>
    <w:uiPriority w:val="0"/>
    <w:rPr>
      <w:rFonts w:hint="default" w:ascii="Consolas" w:hAnsi="Consolas" w:eastAsia="Consolas" w:cs="Consolas"/>
      <w:sz w:val="21"/>
      <w:szCs w:val="21"/>
    </w:rPr>
  </w:style>
  <w:style w:type="paragraph" w:customStyle="1" w:styleId="35">
    <w:name w:val="正文文本首行缩进1"/>
    <w:basedOn w:val="8"/>
    <w:qFormat/>
    <w:uiPriority w:val="0"/>
    <w:pPr>
      <w:ind w:firstLine="420" w:firstLineChars="100"/>
    </w:pPr>
    <w:rPr>
      <w:szCs w:val="21"/>
    </w:rPr>
  </w:style>
  <w:style w:type="character" w:customStyle="1" w:styleId="36">
    <w:name w:val="批注文字 Char"/>
    <w:basedOn w:val="26"/>
    <w:link w:val="7"/>
    <w:qFormat/>
    <w:uiPriority w:val="0"/>
    <w:rPr>
      <w:rFonts w:ascii="等线" w:hAnsi="等线" w:eastAsia="等线"/>
      <w:kern w:val="2"/>
      <w:sz w:val="21"/>
      <w:szCs w:val="22"/>
    </w:rPr>
  </w:style>
  <w:style w:type="character" w:customStyle="1" w:styleId="37">
    <w:name w:val="批注主题 Char"/>
    <w:basedOn w:val="36"/>
    <w:link w:val="22"/>
    <w:qFormat/>
    <w:uiPriority w:val="0"/>
    <w:rPr>
      <w:rFonts w:ascii="等线" w:hAnsi="等线" w:eastAsia="等线"/>
      <w:b/>
      <w:bCs/>
      <w:kern w:val="2"/>
      <w:sz w:val="21"/>
      <w:szCs w:val="22"/>
    </w:rPr>
  </w:style>
  <w:style w:type="character" w:customStyle="1" w:styleId="38">
    <w:name w:val="user-acct"/>
    <w:basedOn w:val="26"/>
    <w:autoRedefine/>
    <w:qFormat/>
    <w:uiPriority w:val="0"/>
    <w:rPr>
      <w:color w:val="7C7070"/>
    </w:rPr>
  </w:style>
  <w:style w:type="character" w:customStyle="1" w:styleId="39">
    <w:name w:val="hover12"/>
    <w:basedOn w:val="26"/>
    <w:autoRedefine/>
    <w:qFormat/>
    <w:uiPriority w:val="0"/>
  </w:style>
  <w:style w:type="character" w:customStyle="1" w:styleId="40">
    <w:name w:val="current"/>
    <w:basedOn w:val="26"/>
    <w:autoRedefine/>
    <w:qFormat/>
    <w:uiPriority w:val="0"/>
    <w:rPr>
      <w:color w:val="00C1DE"/>
    </w:rPr>
  </w:style>
  <w:style w:type="character" w:customStyle="1" w:styleId="41">
    <w:name w:val="current1"/>
    <w:basedOn w:val="26"/>
    <w:autoRedefine/>
    <w:qFormat/>
    <w:uiPriority w:val="0"/>
    <w:rPr>
      <w:color w:val="00C1DE"/>
    </w:rPr>
  </w:style>
  <w:style w:type="character" w:customStyle="1" w:styleId="42">
    <w:name w:val="selected"/>
    <w:basedOn w:val="26"/>
    <w:autoRedefine/>
    <w:qFormat/>
    <w:uiPriority w:val="0"/>
    <w:rPr>
      <w:color w:val="1C81FE"/>
    </w:rPr>
  </w:style>
  <w:style w:type="character" w:customStyle="1" w:styleId="43">
    <w:name w:val="selected1"/>
    <w:basedOn w:val="26"/>
    <w:autoRedefine/>
    <w:qFormat/>
    <w:uiPriority w:val="0"/>
    <w:rPr>
      <w:color w:val="1C81FE"/>
    </w:rPr>
  </w:style>
  <w:style w:type="character" w:customStyle="1" w:styleId="44">
    <w:name w:val="desc"/>
    <w:basedOn w:val="26"/>
    <w:autoRedefine/>
    <w:qFormat/>
    <w:uiPriority w:val="0"/>
    <w:rPr>
      <w:b/>
      <w:bCs/>
      <w:color w:val="404040"/>
    </w:rPr>
  </w:style>
  <w:style w:type="character" w:customStyle="1" w:styleId="45">
    <w:name w:val="desc1"/>
    <w:basedOn w:val="26"/>
    <w:autoRedefine/>
    <w:qFormat/>
    <w:uiPriority w:val="0"/>
    <w:rPr>
      <w:b/>
      <w:bCs/>
      <w:color w:val="404040"/>
    </w:rPr>
  </w:style>
  <w:style w:type="character" w:customStyle="1" w:styleId="46">
    <w:name w:val="helper"/>
    <w:basedOn w:val="26"/>
    <w:autoRedefine/>
    <w:qFormat/>
    <w:uiPriority w:val="0"/>
    <w:rPr>
      <w:b/>
      <w:bCs/>
      <w:color w:val="404040"/>
      <w:sz w:val="38"/>
      <w:szCs w:val="38"/>
    </w:rPr>
  </w:style>
  <w:style w:type="character" w:customStyle="1" w:styleId="47">
    <w:name w:val="icon6"/>
    <w:basedOn w:val="26"/>
    <w:autoRedefine/>
    <w:qFormat/>
    <w:uiPriority w:val="0"/>
  </w:style>
  <w:style w:type="character" w:customStyle="1" w:styleId="48">
    <w:name w:val="ant-typography-ellipsis"/>
    <w:basedOn w:val="26"/>
    <w:autoRedefine/>
    <w:qFormat/>
    <w:uiPriority w:val="0"/>
  </w:style>
  <w:style w:type="character" w:customStyle="1" w:styleId="49">
    <w:name w:val="ant-radio+*"/>
    <w:basedOn w:val="26"/>
    <w:autoRedefine/>
    <w:qFormat/>
    <w:uiPriority w:val="0"/>
  </w:style>
  <w:style w:type="character" w:customStyle="1" w:styleId="50">
    <w:name w:val="content72"/>
    <w:basedOn w:val="26"/>
    <w:autoRedefine/>
    <w:qFormat/>
    <w:uiPriority w:val="0"/>
    <w:rPr>
      <w:color w:val="7C7070"/>
      <w:sz w:val="14"/>
      <w:szCs w:val="14"/>
    </w:rPr>
  </w:style>
  <w:style w:type="character" w:customStyle="1" w:styleId="51">
    <w:name w:val="info-label"/>
    <w:basedOn w:val="26"/>
    <w:autoRedefine/>
    <w:qFormat/>
    <w:uiPriority w:val="0"/>
    <w:rPr>
      <w:b/>
      <w:bCs/>
    </w:rPr>
  </w:style>
  <w:style w:type="character" w:customStyle="1" w:styleId="52">
    <w:name w:val="info-content"/>
    <w:basedOn w:val="26"/>
    <w:autoRedefine/>
    <w:qFormat/>
    <w:uiPriority w:val="0"/>
    <w:rPr>
      <w:color w:val="808080"/>
    </w:rPr>
  </w:style>
  <w:style w:type="character" w:customStyle="1" w:styleId="53">
    <w:name w:val="phone-number1"/>
    <w:basedOn w:val="26"/>
    <w:autoRedefine/>
    <w:qFormat/>
    <w:uiPriority w:val="0"/>
    <w:rPr>
      <w:color w:val="0876FF"/>
    </w:rPr>
  </w:style>
  <w:style w:type="paragraph" w:styleId="54">
    <w:name w:val="List Paragraph"/>
    <w:basedOn w:val="1"/>
    <w:autoRedefine/>
    <w:qFormat/>
    <w:uiPriority w:val="34"/>
    <w:pPr>
      <w:ind w:firstLine="420" w:firstLineChars="200"/>
    </w:pPr>
  </w:style>
  <w:style w:type="paragraph" w:customStyle="1" w:styleId="55">
    <w:name w:val="格式条款-2 Char Char"/>
    <w:basedOn w:val="1"/>
    <w:autoRedefine/>
    <w:qFormat/>
    <w:uiPriority w:val="99"/>
    <w:pPr>
      <w:numPr>
        <w:ilvl w:val="0"/>
        <w:numId w:val="1"/>
      </w:numPr>
      <w:tabs>
        <w:tab w:val="left" w:pos="735"/>
        <w:tab w:val="clear" w:pos="0"/>
      </w:tabs>
    </w:pPr>
    <w:rPr>
      <w:rFonts w:ascii="宋体" w:hAnsi="宋体"/>
      <w:sz w:val="24"/>
      <w:szCs w:val="24"/>
    </w:rPr>
  </w:style>
  <w:style w:type="paragraph" w:customStyle="1" w:styleId="56">
    <w:name w:val="正文_0_0"/>
    <w:basedOn w:val="1"/>
    <w:autoRedefine/>
    <w:qFormat/>
    <w:uiPriority w:val="0"/>
    <w:rPr>
      <w:rFonts w:ascii="Calibri" w:hAnsi="Calibri" w:cs="Calibri"/>
      <w:szCs w:val="21"/>
    </w:rPr>
  </w:style>
  <w:style w:type="paragraph" w:customStyle="1" w:styleId="57">
    <w:name w:val="[Normal]"/>
    <w:autoRedefine/>
    <w:qFormat/>
    <w:uiPriority w:val="0"/>
    <w:rPr>
      <w:rFonts w:ascii="宋体" w:hAnsi="宋体" w:eastAsia="宋体" w:cs="Times New Roman"/>
      <w:sz w:val="24"/>
      <w:szCs w:val="22"/>
      <w:lang w:val="zh-CN" w:eastAsia="zh-CN" w:bidi="ar-SA"/>
    </w:rPr>
  </w:style>
  <w:style w:type="paragraph" w:customStyle="1" w:styleId="58">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59">
    <w:name w:val="p5"/>
    <w:basedOn w:val="26"/>
    <w:autoRedefine/>
    <w:qFormat/>
    <w:uiPriority w:val="0"/>
  </w:style>
  <w:style w:type="paragraph" w:customStyle="1" w:styleId="60">
    <w:name w:val="正文首行缩进1"/>
    <w:basedOn w:val="8"/>
    <w:autoRedefine/>
    <w:qFormat/>
    <w:uiPriority w:val="0"/>
    <w:pPr>
      <w:ind w:firstLine="420" w:firstLineChars="100"/>
    </w:pPr>
    <w:rPr>
      <w:rFonts w:ascii="Times New Roman" w:hAnsi="Times New Roman"/>
    </w:rPr>
  </w:style>
  <w:style w:type="paragraph" w:customStyle="1" w:styleId="61">
    <w:name w:val="列出段落1"/>
    <w:basedOn w:val="1"/>
    <w:autoRedefine/>
    <w:qFormat/>
    <w:uiPriority w:val="0"/>
    <w:pPr>
      <w:ind w:firstLine="420" w:firstLineChars="200"/>
    </w:pPr>
    <w:rPr>
      <w:szCs w:val="20"/>
    </w:rPr>
  </w:style>
  <w:style w:type="character" w:customStyle="1" w:styleId="62">
    <w:name w:val="批注框文本 Char"/>
    <w:basedOn w:val="26"/>
    <w:link w:val="16"/>
    <w:autoRedefine/>
    <w:qFormat/>
    <w:uiPriority w:val="0"/>
    <w:rPr>
      <w:rFonts w:ascii="等线" w:hAnsi="等线" w:eastAsia="等线"/>
      <w:kern w:val="2"/>
      <w:sz w:val="18"/>
      <w:szCs w:val="18"/>
    </w:rPr>
  </w:style>
  <w:style w:type="paragraph" w:customStyle="1" w:styleId="63">
    <w:name w:val="hb.1"/>
    <w:basedOn w:val="1"/>
    <w:autoRedefine/>
    <w:qFormat/>
    <w:uiPriority w:val="0"/>
    <w:pPr>
      <w:tabs>
        <w:tab w:val="left" w:pos="992"/>
      </w:tabs>
      <w:spacing w:after="156"/>
      <w:ind w:left="992" w:hanging="567"/>
    </w:pPr>
    <w:rPr>
      <w:rFonts w:ascii="Times New Roman" w:hAnsi="Times New Roman"/>
      <w:szCs w:val="20"/>
    </w:rPr>
  </w:style>
  <w:style w:type="paragraph" w:customStyle="1" w:styleId="64">
    <w:name w:val="htbh"/>
    <w:basedOn w:val="3"/>
    <w:autoRedefine/>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5">
    <w:name w:val="合同标题"/>
    <w:basedOn w:val="1"/>
    <w:autoRedefine/>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6">
    <w:name w:val="正文表标题"/>
    <w:next w:val="67"/>
    <w:autoRedefine/>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表内文字"/>
    <w:basedOn w:val="1"/>
    <w:autoRedefine/>
    <w:qFormat/>
    <w:uiPriority w:val="0"/>
    <w:pPr>
      <w:spacing w:line="240" w:lineRule="atLeast"/>
      <w:jc w:val="center"/>
    </w:pPr>
    <w:rPr>
      <w:rFonts w:ascii="Arial" w:hAnsi="Arial" w:eastAsia="宋体" w:cs="Arial"/>
      <w:b/>
      <w:bCs/>
    </w:rPr>
  </w:style>
  <w:style w:type="paragraph" w:customStyle="1" w:styleId="69">
    <w:name w:val="xl55"/>
    <w:basedOn w:val="1"/>
    <w:autoRedefine/>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0">
    <w:name w:val="reader-word-layer reader-word-s1-2"/>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72</Pages>
  <Words>25498</Words>
  <Characters>26541</Characters>
  <Lines>373</Lines>
  <Paragraphs>105</Paragraphs>
  <TotalTime>11</TotalTime>
  <ScaleCrop>false</ScaleCrop>
  <LinksUpToDate>false</LinksUpToDate>
  <CharactersWithSpaces>27219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金楷啊</cp:lastModifiedBy>
  <dcterms:modified xsi:type="dcterms:W3CDTF">2025-08-18T08:05:08Z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F0D149333B114D1FAD11BFE2E07ACFBC_13</vt:lpwstr>
  </property>
  <property fmtid="{D5CDD505-2E9C-101B-9397-08002B2CF9AE}" pid="4" name="KSOTemplateDocerSaveRecord">
    <vt:lpwstr>eyJoZGlkIjoiYjljOTBkMTM2NTFiZTgyZThjMmVjYWFlOGJjYTJlNGMiLCJ1c2VySWQiOiI0Mjg0Nzg5MDgifQ==</vt:lpwstr>
  </property>
</Properties>
</file>